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single" w:sz="6" w:space="0" w:color="7F7F7F" w:themeColor="text1" w:themeTint="80"/>
          <w:left w:val="none" w:sz="0" w:space="0" w:color="auto"/>
          <w:bottom w:val="single" w:sz="6" w:space="0" w:color="7F7F7F" w:themeColor="text1" w:themeTint="80"/>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3596"/>
        <w:gridCol w:w="3597"/>
        <w:gridCol w:w="3597"/>
      </w:tblGrid>
      <w:tr w:rsidR="000A015C" w14:paraId="4FF103A7" w14:textId="77777777">
        <w:tc>
          <w:tcPr>
            <w:tcW w:w="3596" w:type="dxa"/>
            <w:shd w:val="clear" w:color="auto" w:fill="F2F2F2" w:themeFill="background1" w:themeFillShade="F2"/>
          </w:tcPr>
          <w:p w14:paraId="329A5E19" w14:textId="77777777" w:rsidR="000A015C" w:rsidRPr="00CA2C0B" w:rsidRDefault="000A015C" w:rsidP="000A015C">
            <w:pPr>
              <w:pStyle w:val="Heading2"/>
              <w:spacing w:before="0" w:after="120"/>
              <w:outlineLvl w:val="1"/>
              <w:rPr>
                <w:color w:val="7F7F7F" w:themeColor="text1" w:themeTint="80"/>
              </w:rPr>
            </w:pPr>
            <w:r>
              <w:rPr>
                <w:color w:val="7F7F7F" w:themeColor="text1" w:themeTint="80"/>
                <w:lang w:val="fr-FR"/>
              </w:rPr>
              <w:t/>
            </w:r>
            <w:r w:rsidRPr="00A820FA">
              <w:rPr>
                <w:color w:val="7F7F7F" w:themeColor="text1" w:themeTint="80"/>
                <w:lang w:val="fr-FR"/>
              </w:rPr>
              <w:t xml:space="preserve">Patient Information</w:t>
            </w:r>
          </w:p>
          <w:p w14:paraId="6718C417" w14:textId="77777777" w:rsidR="000A015C" w:rsidRPr="00CF14A2" w:rsidRDefault="000A015C" w:rsidP="000A015C">
            <w:pPr>
              <w:tabs>
                <w:tab w:val="left" w:pos="1693"/>
              </w:tabs>
              <w:rPr>
                <w:sz w:val="20"/>
                <w:szCs w:val="20"/>
              </w:rPr>
            </w:pPr>
            <w:r w:rsidRPr="00CF14A2">
              <w:rPr>
                <w:b/>
                <w:sz w:val="20"/>
                <w:szCs w:val="20"/>
              </w:rPr>
              <w:t xml:space="preserve">Patient Name</w:t>
            </w:r>
            <w:r w:rsidRPr="00CF14A2">
              <w:rPr>
                <w:sz w:val="20"/>
                <w:szCs w:val="20"/>
              </w:rPr>
              <w:tab/>
            </w:r>
            <w:r>
              <w:rPr>
                <w:sz w:val="20"/>
                <w:szCs w:val="20"/>
              </w:rPr>
              <w:t xml:space="preserve">S2</w:t>
            </w:r>
            <w:proofErr w:type="spellStart"/>
            <w:r>
              <w:rPr>
                <w:sz w:val="20"/>
                <w:szCs w:val="20"/>
              </w:rPr>
              <w:t/>
            </w:r>
            <w:proofErr w:type="spellEnd"/>
            <w:r>
              <w:rPr>
                <w:sz w:val="20"/>
                <w:szCs w:val="20"/>
              </w:rPr>
              <w:t/>
            </w:r>
          </w:p>
          <w:p w14:paraId="3C278C7C" w14:textId="77777777" w:rsidR="000A015C" w:rsidRPr="00CF14A2" w:rsidRDefault="000A015C" w:rsidP="000A015C">
            <w:pPr>
              <w:tabs>
                <w:tab w:val="left" w:pos="1693"/>
              </w:tabs>
              <w:rPr>
                <w:sz w:val="20"/>
                <w:szCs w:val="20"/>
              </w:rPr>
            </w:pPr>
            <w:r w:rsidRPr="00CF14A2">
              <w:rPr>
                <w:b/>
                <w:sz w:val="20"/>
                <w:szCs w:val="20"/>
              </w:rPr>
              <w:t xml:space="preserve">DOB</w:t>
            </w:r>
            <w:r w:rsidRPr="00CF14A2">
              <w:rPr>
                <w:sz w:val="20"/>
                <w:szCs w:val="20"/>
              </w:rPr>
              <w:tab/>
            </w:r>
            <w:r>
              <w:rPr>
                <w:sz w:val="20"/>
                <w:szCs w:val="20"/>
              </w:rPr>
              <w:t/>
            </w:r>
          </w:p>
          <w:p w14:paraId="54453AA0" w14:textId="77777777" w:rsidR="000A015C" w:rsidRPr="00CF14A2" w:rsidRDefault="000A015C" w:rsidP="000A015C">
            <w:pPr>
              <w:tabs>
                <w:tab w:val="left" w:pos="1693"/>
              </w:tabs>
              <w:rPr>
                <w:sz w:val="20"/>
                <w:szCs w:val="20"/>
              </w:rPr>
            </w:pPr>
            <w:r w:rsidRPr="00CF14A2">
              <w:rPr>
                <w:b/>
                <w:sz w:val="20"/>
                <w:szCs w:val="20"/>
              </w:rPr>
              <w:t xml:space="preserve">Sex</w:t>
            </w:r>
            <w:r w:rsidRPr="00CF14A2">
              <w:rPr>
                <w:sz w:val="20"/>
                <w:szCs w:val="20"/>
              </w:rPr>
              <w:tab/>
            </w:r>
            <w:r>
              <w:rPr>
                <w:sz w:val="20"/>
                <w:szCs w:val="20"/>
              </w:rPr>
              <w:t xml:space="preserve">Unknown</w:t>
            </w:r>
          </w:p>
          <w:p w14:paraId="6EB87329" w14:textId="7EE6F432" w:rsidR="000A015C" w:rsidRDefault="000A015C" w:rsidP="000A015C">
            <w:pPr>
              <w:tabs>
                <w:tab w:val="left" w:pos="1693"/>
              </w:tabs>
            </w:pPr>
            <w:r w:rsidRPr="00CF14A2">
              <w:rPr>
                <w:b/>
                <w:sz w:val="20"/>
                <w:szCs w:val="20"/>
              </w:rPr>
              <w:t xml:space="preserve">MRN</w:t>
            </w:r>
            <w:r w:rsidRPr="00CF14A2">
              <w:rPr>
                <w:sz w:val="20"/>
                <w:szCs w:val="20"/>
              </w:rPr>
              <w:tab/>
            </w:r>
            <w:r>
              <w:rPr>
                <w:sz w:val="20"/>
                <w:szCs w:val="20"/>
              </w:rPr>
              <w:t/>
            </w:r>
            <w:proofErr w:type="spellStart"/>
            <w:r>
              <w:rPr>
                <w:sz w:val="20"/>
                <w:szCs w:val="20"/>
              </w:rPr>
              <w:t/>
            </w:r>
            <w:proofErr w:type="spellEnd"/>
            <w:r>
              <w:rPr>
                <w:sz w:val="20"/>
                <w:szCs w:val="20"/>
              </w:rPr>
              <w:t/>
            </w:r>
          </w:p>
        </w:tc>
        <w:tc>
          <w:tcPr>
            <w:tcW w:w="3597" w:type="dxa"/>
            <w:shd w:val="clear" w:color="auto" w:fill="F2F2F2" w:themeFill="background1" w:themeFillShade="F2"/>
          </w:tcPr>
          <w:p w14:paraId="2F720E09" w14:textId="77777777" w:rsidR="000A015C" w:rsidRPr="00F10FBB" w:rsidRDefault="000A015C" w:rsidP="000A015C">
            <w:pPr>
              <w:pStyle w:val="Heading2"/>
              <w:spacing w:before="0" w:after="120"/>
              <w:outlineLvl w:val="1"/>
              <w:rPr>
                <w:color w:val="7F7F7F" w:themeColor="text1" w:themeTint="80"/>
              </w:rPr>
            </w:pPr>
            <w:r>
              <w:rPr>
                <w:color w:val="7F7F7F" w:themeColor="text1" w:themeTint="80"/>
              </w:rPr>
              <w:t xml:space="preserve">Reference</w:t>
            </w:r>
            <w:r w:rsidRPr="00F10FBB">
              <w:rPr>
                <w:color w:val="7F7F7F" w:themeColor="text1" w:themeTint="80"/>
              </w:rPr>
              <w:t xml:space="preserve"> Info</w:t>
            </w:r>
            <w:r>
              <w:rPr>
                <w:color w:val="7F7F7F" w:themeColor="text1" w:themeTint="80"/>
              </w:rPr>
              <w:t xml:space="preserve">rmation</w:t>
            </w:r>
          </w:p>
          <w:p w14:paraId="45913806" w14:textId="77777777" w:rsidR="000A015C" w:rsidRPr="00CF14A2" w:rsidRDefault="000A015C" w:rsidP="000A015C">
            <w:pPr>
              <w:tabs>
                <w:tab w:val="left" w:pos="1696"/>
              </w:tabs>
              <w:rPr>
                <w:sz w:val="20"/>
                <w:szCs w:val="20"/>
              </w:rPr>
            </w:pPr>
            <w:r w:rsidRPr="00CF14A2">
              <w:rPr>
                <w:b/>
                <w:sz w:val="20"/>
                <w:szCs w:val="20"/>
              </w:rPr>
              <w:t xml:space="preserve">Ordering Physician</w:t>
            </w:r>
            <w:r w:rsidRPr="00CF14A2">
              <w:rPr>
                <w:sz w:val="20"/>
                <w:szCs w:val="20"/>
              </w:rPr>
              <w:tab/>
            </w:r>
            <w:r>
              <w:rPr>
                <w:sz w:val="20"/>
                <w:szCs w:val="20"/>
              </w:rPr>
              <w:t/>
            </w:r>
            <w:proofErr w:type="spellStart"/>
            <w:r>
              <w:rPr>
                <w:sz w:val="20"/>
                <w:szCs w:val="20"/>
              </w:rPr>
              <w:t/>
            </w:r>
            <w:proofErr w:type="spellEnd"/>
            <w:r>
              <w:rPr>
                <w:sz w:val="20"/>
                <w:szCs w:val="20"/>
              </w:rPr>
              <w:t/>
            </w:r>
          </w:p>
          <w:p w14:paraId="6F1F2654" w14:textId="77777777" w:rsidR="000A015C" w:rsidRPr="00CF14A2" w:rsidRDefault="000A015C" w:rsidP="000A015C">
            <w:pPr>
              <w:tabs>
                <w:tab w:val="left" w:pos="1696"/>
              </w:tabs>
              <w:rPr>
                <w:sz w:val="20"/>
                <w:szCs w:val="20"/>
              </w:rPr>
            </w:pPr>
            <w:r w:rsidRPr="00CF14A2">
              <w:rPr>
                <w:b/>
                <w:sz w:val="20"/>
                <w:szCs w:val="20"/>
              </w:rPr>
              <w:t xml:space="preserve">Order Date</w:t>
            </w:r>
            <w:r w:rsidRPr="00CF14A2">
              <w:rPr>
                <w:sz w:val="20"/>
                <w:szCs w:val="20"/>
              </w:rPr>
              <w:tab/>
            </w:r>
            <w:r>
              <w:rPr>
                <w:sz w:val="20"/>
                <w:szCs w:val="20"/>
              </w:rPr>
              <w:t/>
            </w:r>
            <w:proofErr w:type="spellStart"/>
            <w:r>
              <w:rPr>
                <w:sz w:val="20"/>
                <w:szCs w:val="20"/>
              </w:rPr>
              <w:t/>
            </w:r>
            <w:proofErr w:type="spellEnd"/>
            <w:r>
              <w:rPr>
                <w:sz w:val="20"/>
                <w:szCs w:val="20"/>
              </w:rPr>
              <w:t/>
            </w:r>
          </w:p>
          <w:p w14:paraId="190E50CA" w14:textId="77777777" w:rsidR="000A015C" w:rsidRPr="00CF14A2" w:rsidRDefault="000A015C" w:rsidP="000A015C">
            <w:pPr>
              <w:tabs>
                <w:tab w:val="left" w:pos="1696"/>
              </w:tabs>
              <w:rPr>
                <w:sz w:val="20"/>
                <w:szCs w:val="20"/>
              </w:rPr>
            </w:pPr>
            <w:r>
              <w:rPr>
                <w:b/>
                <w:sz w:val="20"/>
                <w:szCs w:val="20"/>
              </w:rPr>
              <w:t xml:space="preserve">Contact/Recipient</w:t>
            </w:r>
            <w:r w:rsidRPr="00CF14A2">
              <w:rPr>
                <w:sz w:val="20"/>
                <w:szCs w:val="20"/>
              </w:rPr>
              <w:tab/>
            </w:r>
            <w:r>
              <w:rPr>
                <w:sz w:val="20"/>
                <w:szCs w:val="20"/>
              </w:rPr>
              <w:t/>
            </w:r>
            <w:proofErr w:type="spellStart"/>
            <w:r>
              <w:rPr>
                <w:sz w:val="20"/>
                <w:szCs w:val="20"/>
              </w:rPr>
              <w:t/>
            </w:r>
            <w:proofErr w:type="spellEnd"/>
            <w:r>
              <w:rPr>
                <w:sz w:val="20"/>
                <w:szCs w:val="20"/>
              </w:rPr>
              <w:t/>
            </w:r>
          </w:p>
          <w:p w14:paraId="1C43DF7D" w14:textId="553E1AFD" w:rsidR="000A015C" w:rsidRDefault="000A015C" w:rsidP="000A015C">
            <w:pPr>
              <w:tabs>
                <w:tab w:val="left" w:pos="1696"/>
              </w:tabs>
            </w:pPr>
            <w:r>
              <w:rPr>
                <w:b/>
                <w:sz w:val="20"/>
                <w:szCs w:val="20"/>
              </w:rPr>
              <w:t xml:space="preserve">Additional</w:t>
            </w:r>
            <w:r w:rsidRPr="00CF14A2">
              <w:rPr>
                <w:sz w:val="20"/>
                <w:szCs w:val="20"/>
              </w:rPr>
              <w:tab/>
            </w:r>
            <w:r>
              <w:rPr>
                <w:sz w:val="20"/>
                <w:szCs w:val="20"/>
              </w:rPr>
              <w:t/>
            </w:r>
            <w:proofErr w:type="spellStart"/>
            <w:r>
              <w:rPr>
                <w:sz w:val="20"/>
                <w:szCs w:val="20"/>
              </w:rPr>
              <w:t/>
            </w:r>
            <w:proofErr w:type="spellEnd"/>
            <w:r>
              <w:rPr>
                <w:sz w:val="20"/>
                <w:szCs w:val="20"/>
              </w:rPr>
              <w:t/>
            </w:r>
          </w:p>
        </w:tc>
        <w:tc>
          <w:tcPr>
            <w:tcW w:w="3597" w:type="dxa"/>
            <w:shd w:val="clear" w:color="auto" w:fill="F2F2F2" w:themeFill="background1" w:themeFillShade="F2"/>
          </w:tcPr>
          <w:p w14:paraId="36C80726" w14:textId="77777777" w:rsidR="000A015C" w:rsidRPr="00F10FBB" w:rsidRDefault="000A015C" w:rsidP="000A015C">
            <w:pPr>
              <w:pStyle w:val="Heading2"/>
              <w:spacing w:before="0" w:after="120"/>
              <w:outlineLvl w:val="1"/>
              <w:rPr>
                <w:color w:val="7F7F7F" w:themeColor="text1" w:themeTint="80"/>
              </w:rPr>
            </w:pPr>
            <w:r>
              <w:rPr>
                <w:color w:val="7F7F7F" w:themeColor="text1" w:themeTint="80"/>
              </w:rPr>
              <w:t xml:space="preserve">Sample</w:t>
            </w:r>
            <w:r w:rsidRPr="00F10FBB">
              <w:rPr>
                <w:color w:val="7F7F7F" w:themeColor="text1" w:themeTint="80"/>
              </w:rPr>
              <w:t xml:space="preserve"> Info</w:t>
            </w:r>
            <w:r>
              <w:rPr>
                <w:color w:val="7F7F7F" w:themeColor="text1" w:themeTint="80"/>
              </w:rPr>
              <w:t xml:space="preserve">rmation</w:t>
            </w:r>
          </w:p>
          <w:p w14:paraId="32C718F8" w14:textId="77777777" w:rsidR="000A015C" w:rsidRPr="00CF14A2" w:rsidRDefault="000A015C" w:rsidP="000A015C">
            <w:pPr>
              <w:tabs>
                <w:tab w:val="left" w:pos="1822"/>
              </w:tabs>
              <w:rPr>
                <w:sz w:val="20"/>
              </w:rPr>
            </w:pPr>
            <w:r w:rsidRPr="00CF14A2">
              <w:rPr>
                <w:b/>
                <w:sz w:val="20"/>
              </w:rPr>
              <w:t xml:space="preserve">Specimen Site</w:t>
            </w:r>
            <w:r w:rsidRPr="00CF14A2">
              <w:rPr>
                <w:sz w:val="20"/>
              </w:rPr>
              <w:tab/>
            </w:r>
            <w:r>
              <w:rPr>
                <w:sz w:val="20"/>
              </w:rPr>
              <w:t/>
            </w:r>
            <w:proofErr w:type="spellStart"/>
            <w:r>
              <w:rPr>
                <w:sz w:val="20"/>
              </w:rPr>
              <w:t/>
            </w:r>
            <w:proofErr w:type="spellEnd"/>
            <w:r>
              <w:rPr>
                <w:sz w:val="20"/>
              </w:rPr>
              <w:t/>
            </w:r>
          </w:p>
          <w:p w14:paraId="1B15A59B" w14:textId="77777777" w:rsidR="000A015C" w:rsidRPr="00CF14A2" w:rsidRDefault="000A015C" w:rsidP="000A015C">
            <w:pPr>
              <w:tabs>
                <w:tab w:val="left" w:pos="1822"/>
              </w:tabs>
              <w:rPr>
                <w:sz w:val="20"/>
              </w:rPr>
            </w:pPr>
            <w:r w:rsidRPr="00CF14A2">
              <w:rPr>
                <w:b/>
                <w:sz w:val="20"/>
              </w:rPr>
              <w:t xml:space="preserve">Collection Date</w:t>
            </w:r>
            <w:r w:rsidRPr="00CF14A2">
              <w:rPr>
                <w:sz w:val="20"/>
              </w:rPr>
              <w:tab/>
            </w:r>
            <w:r>
              <w:rPr>
                <w:sz w:val="20"/>
              </w:rPr>
              <w:t/>
            </w:r>
            <w:proofErr w:type="spellStart"/>
            <w:r>
              <w:rPr>
                <w:sz w:val="20"/>
              </w:rPr>
              <w:t/>
            </w:r>
            <w:proofErr w:type="spellEnd"/>
            <w:r>
              <w:rPr>
                <w:sz w:val="20"/>
              </w:rPr>
              <w:t/>
            </w:r>
          </w:p>
          <w:p w14:paraId="287EF809" w14:textId="77777777" w:rsidR="000A015C" w:rsidRPr="00CF14A2" w:rsidRDefault="000A015C" w:rsidP="000A015C">
            <w:pPr>
              <w:tabs>
                <w:tab w:val="left" w:pos="1822"/>
              </w:tabs>
              <w:rPr>
                <w:sz w:val="20"/>
              </w:rPr>
            </w:pPr>
            <w:r w:rsidRPr="00CF14A2">
              <w:rPr>
                <w:b/>
                <w:sz w:val="20"/>
              </w:rPr>
              <w:t xml:space="preserve">Received Date</w:t>
            </w:r>
            <w:r w:rsidRPr="00CF14A2">
              <w:rPr>
                <w:sz w:val="20"/>
              </w:rPr>
              <w:tab/>
            </w:r>
            <w:r>
              <w:rPr>
                <w:sz w:val="20"/>
              </w:rPr>
              <w:t/>
            </w:r>
            <w:proofErr w:type="spellStart"/>
            <w:r w:rsidRPr="00C275A4">
              <w:rPr>
                <w:sz w:val="20"/>
              </w:rPr>
              <w:t/>
            </w:r>
            <w:proofErr w:type="spellEnd"/>
            <w:r>
              <w:rPr>
                <w:sz w:val="20"/>
              </w:rPr>
              <w:t/>
            </w:r>
          </w:p>
          <w:p w14:paraId="7713DC22" w14:textId="29FE4B1C" w:rsidR="000A015C" w:rsidRDefault="000A015C" w:rsidP="000A015C">
            <w:pPr>
              <w:tabs>
                <w:tab w:val="left" w:pos="1822"/>
              </w:tabs>
            </w:pPr>
            <w:r w:rsidRPr="00CF14A2">
              <w:rPr>
                <w:b/>
                <w:sz w:val="20"/>
              </w:rPr>
              <w:t xml:space="preserve">Accession #</w:t>
            </w:r>
            <w:r w:rsidRPr="00CF14A2">
              <w:rPr>
                <w:sz w:val="20"/>
              </w:rPr>
              <w:tab/>
            </w:r>
            <w:r>
              <w:rPr>
                <w:sz w:val="20"/>
              </w:rPr>
              <w:t/>
            </w:r>
          </w:p>
        </w:tc>
      </w:tr>
    </w:tbl>
    <w:p w14:paraId="6C260EE2" w14:textId="77777777" w:rsidR="0002665A" w:rsidRPr="003F74E6" w:rsidRDefault="0002665A" w:rsidP="0002665A">
      <w:pPr>
        <w:pStyle w:val="Heading2"/>
        <w:spacing w:before="120"/>
        <w:rPr>
          <w:rFonts w:cs="Calibri Light (Headings)"/>
          <w:b/>
          <w:smallCaps/>
          <w:color w:val="0D0D0D" w:themeColor="text1" w:themeTint="F2"/>
          <w:spacing w:val="10"/>
        </w:rPr>
      </w:pPr>
      <w:r w:rsidRPr="003F74E6">
        <w:rPr>
          <w:rFonts w:cs="Calibri Light (Headings)"/>
          <w:b/>
          <w:smallCaps/>
          <w:color w:val="0D0D0D" w:themeColor="text1" w:themeTint="F2"/>
          <w:spacing w:val="10"/>
        </w:rPr>
        <w:t>About the Test</w:t>
      </w:r>
    </w:p>
    <w:p w14:paraId="0B15DF8D" w14:textId="6EAB35E8" w:rsidR="0002665A" w:rsidRDefault="0002665A" w:rsidP="0002665A">
      <w:pPr>
        <w:spacing w:after="240"/>
        <w:rPr>
          <w:color w:val="7F7F7F" w:themeColor="text1" w:themeTint="80"/>
          <w:sz w:val="20"/>
          <w:szCs w:val="20"/>
        </w:rPr>
      </w:pPr>
      <w:r w:rsidRPr="001A651C">
        <w:rPr>
          <w:color w:val="7F7F7F" w:themeColor="text1" w:themeTint="80"/>
          <w:sz w:val="20"/>
          <w:szCs w:val="20"/>
        </w:rPr>
        <w:t xml:space="preserve">Golden Labs </w:t>
      </w:r>
      <w:r>
        <w:rPr>
          <w:color w:val="7F7F7F" w:themeColor="text1" w:themeTint="80"/>
          <w:sz w:val="20"/>
          <w:szCs w:val="20"/>
        </w:rPr>
        <w:t xml:space="preserve">utilizes a Next Generation Sequencing (NGS) based assay of </w:t>
      </w:r>
      <w:r w:rsidR="00AF1476">
        <w:rPr>
          <w:color w:val="7F7F7F" w:themeColor="text1" w:themeTint="80"/>
          <w:sz w:val="20"/>
          <w:szCs w:val="20"/>
        </w:rPr>
        <w:t>cancer-related</w:t>
      </w:r>
      <w:r>
        <w:rPr>
          <w:color w:val="7F7F7F" w:themeColor="text1" w:themeTint="80"/>
          <w:sz w:val="20"/>
          <w:szCs w:val="20"/>
        </w:rPr>
        <w:t xml:space="preserve"> genes to detect relevant genomic alterations that provide therapeutic guidance, disease diagnostic evidence or prognostic indication. See Method</w:t>
      </w:r>
      <w:r w:rsidR="00D4767A">
        <w:rPr>
          <w:color w:val="7F7F7F" w:themeColor="text1" w:themeTint="80"/>
          <w:sz w:val="20"/>
          <w:szCs w:val="20"/>
        </w:rPr>
        <w:t>s</w:t>
      </w:r>
      <w:r>
        <w:rPr>
          <w:color w:val="7F7F7F" w:themeColor="text1" w:themeTint="80"/>
          <w:sz w:val="20"/>
          <w:szCs w:val="20"/>
        </w:rPr>
        <w:t xml:space="preserve"> </w:t>
      </w:r>
      <w:r w:rsidR="00906CB9">
        <w:rPr>
          <w:color w:val="7F7F7F" w:themeColor="text1" w:themeTint="80"/>
          <w:sz w:val="20"/>
          <w:szCs w:val="20"/>
        </w:rPr>
        <w:t>and</w:t>
      </w:r>
      <w:r>
        <w:rPr>
          <w:color w:val="7F7F7F" w:themeColor="text1" w:themeTint="80"/>
          <w:sz w:val="20"/>
          <w:szCs w:val="20"/>
        </w:rPr>
        <w:t xml:space="preserve"> Limitations.</w:t>
      </w:r>
    </w:p>
    <w:tbl>
      <w:tblPr>
        <w:tblStyle w:val="TableGrid"/>
        <w:tblpPr w:leftFromText="180" w:rightFromText="180" w:vertAnchor="text" w:horzAnchor="margin" w:tblpXSpec="center" w:tblpY="54"/>
        <w:tblW w:w="0" w:type="auto"/>
        <w:tblBorders>
          <w:top w:val="single" w:sz="8" w:space="0" w:color="auto"/>
          <w:left w:val="single" w:sz="8" w:space="0" w:color="auto"/>
          <w:bottom w:val="single" w:sz="8" w:space="0" w:color="auto"/>
          <w:right w:val="single" w:sz="8" w:space="0" w:color="auto"/>
          <w:insideH w:val="none" w:sz="0" w:space="0" w:color="auto"/>
          <w:insideV w:val="none" w:sz="0" w:space="0" w:color="auto"/>
        </w:tblBorders>
        <w:tblLayout w:type="fixed"/>
        <w:tblLook w:val="04A0" w:firstRow="1" w:lastRow="0" w:firstColumn="1" w:lastColumn="0" w:noHBand="0" w:noVBand="1"/>
      </w:tblPr>
      <w:tblGrid>
        <w:gridCol w:w="10301"/>
      </w:tblGrid>
      <w:tr w:rsidR="0075111E" w14:paraId="2C8405EB" w14:textId="77777777" w:rsidTr="00D523A6">
        <w:trPr>
          <w:trHeight w:val="5131"/>
        </w:trPr>
        <w:tc>
          <w:tcPr>
            <w:tcW w:w="10301" w:type="dxa"/>
          </w:tcPr>
          <w:p w14:paraId="277624EE" w14:textId="7B60E2FE" w:rsidR="00D92782" w:rsidRPr="00D92782" w:rsidRDefault="0075111E" w:rsidP="00D92782">
            <w:pPr>
              <w:pStyle w:val="Heading2"/>
              <w:spacing w:before="0" w:after="120"/>
              <w:outlineLvl w:val="1"/>
              <w:rPr>
                <w:b/>
                <w:smallCaps/>
                <w:color w:val="000000" w:themeColor="text1"/>
              </w:rPr>
            </w:pPr>
            <w:r w:rsidRPr="008C14C6">
              <w:rPr>
                <w:b/>
                <w:smallCaps/>
                <w:color w:val="000000" w:themeColor="text1"/>
              </w:rPr>
              <w:t>Results Summary</w:t>
            </w:r>
            <w:r w:rsidR="006E37F7" w:rsidRPr="008C14C6">
              <w:rPr>
                <w:b/>
                <w:smallCaps/>
                <w:color w:val="000000" w:themeColor="text1"/>
              </w:rPr>
              <w:t xml:space="preserve"> </w:t>
            </w:r>
          </w:p>
          <w:p w14:paraId="3D2E3019" w14:textId="4233CC20" w:rsidR="00D92782" w:rsidRPr="00D92782" w:rsidRDefault="00D92782" w:rsidP="00D92782">
            <w:pPr>
              <w:pBdr>
                <w:top w:val="single" w:sz="4" w:space="1" w:color="auto"/>
                <w:bottom w:val="single" w:sz="4" w:space="1" w:color="auto"/>
              </w:pBdr>
              <w:spacing w:line="360" w:lineRule="auto"/>
              <w:rPr>
                <w:rFonts w:asciiTheme="majorHAnsi" w:hAnsiTheme="majorHAnsi" w:cstheme="majorHAnsi"/>
              </w:rPr>
            </w:pPr>
            <w:r>
              <w:rPr>
                <w:rFonts w:asciiTheme="majorHAnsi" w:hAnsiTheme="majorHAnsi" w:cstheme="majorHAnsi"/>
              </w:rPr>
              <w:t/>
            </w:r>
            <w:proofErr w:type="spellStart"/>
            <w:r>
              <w:rPr>
                <w:rFonts w:asciiTheme="majorHAnsi" w:hAnsiTheme="majorHAnsi" w:cstheme="majorHAnsi"/>
              </w:rPr>
              <w:t/>
            </w:r>
            <w:proofErr w:type="spellEnd"/>
            <w:r>
              <w:rPr>
                <w:rFonts w:asciiTheme="majorHAnsi" w:hAnsiTheme="majorHAnsi" w:cstheme="majorHAnsi"/>
              </w:rPr>
              <w:t/>
            </w:r>
          </w:p>
          <w:p w14:paraId="183FBCB8" w14:textId="7A7387D0" w:rsidR="006E37F7" w:rsidRPr="008C14C6" w:rsidRDefault="006E37F7" w:rsidP="003B5E31">
            <w:pPr>
              <w:pBdr>
                <w:top w:val="single" w:sz="4" w:space="1" w:color="auto"/>
                <w:bottom w:val="single" w:sz="4" w:space="1" w:color="auto"/>
              </w:pBdr>
              <w:spacing w:line="360" w:lineRule="auto"/>
              <w:rPr>
                <w:rFonts w:asciiTheme="majorHAnsi" w:hAnsiTheme="majorHAnsi" w:cstheme="majorHAnsi"/>
                <w:b/>
                <w:bCs/>
              </w:rPr>
            </w:pPr>
            <w:r w:rsidRPr="008C14C6">
              <w:rPr>
                <w:rFonts w:asciiTheme="majorHAnsi" w:hAnsiTheme="majorHAnsi" w:cstheme="majorHAnsi"/>
                <w:b/>
                <w:bCs/>
              </w:rPr>
              <w:t xml:space="preserve">Negative</w:t>
            </w:r>
            <w:r w:rsidR="00EB5186">
              <w:rPr>
                <w:rFonts w:asciiTheme="majorHAnsi" w:hAnsiTheme="majorHAnsi" w:cstheme="majorHAnsi"/>
                <w:b/>
                <w:bCs/>
              </w:rPr>
              <w:t xml:space="preserve"> Findings</w:t>
            </w:r>
          </w:p>
          <w:p w14:paraId="1444159E" w14:textId="060A8F8A" w:rsidR="006E37F7" w:rsidRDefault="006E37F7" w:rsidP="006E37F7">
            <w:pPr>
              <w:spacing w:line="360" w:lineRule="auto"/>
            </w:pPr>
            <w:r>
              <w:t xml:space="preserve">No pathogenic single nucleotide variants, indels, copy number changes, or structural variations found for:</w:t>
            </w:r>
          </w:p>
          <w:p w14:paraId="4E0A0F70" w14:textId="58BBF8C7" w:rsidR="00864D87" w:rsidRDefault="004B7F27" w:rsidP="00864D87">
            <w:pPr>
              <w:spacing w:line="360" w:lineRule="auto"/>
            </w:pPr>
            <w:r>
              <w:t xml:space="preserve">|</w:t>
            </w:r>
            <w:r w:rsidR="00E43E89">
              <w:t/>
            </w:r>
            <w:r>
              <w:t xml:space="preserve"> </w:t>
            </w:r>
            <w:r w:rsidR="00FD4201" w:rsidRPr="00FD4201">
              <w:rPr>
                <w:b/>
                <w:bCs/>
                <w:color w:val="808080" w:themeColor="background1" w:themeShade="80"/>
              </w:rPr>
              <w:t xml:space="preserve">ALK</w:t>
            </w:r>
            <w:r w:rsidR="00FD4201">
              <w:t xml:space="preserve"> </w:t>
            </w:r>
            <w:r w:rsidR="009E6C21">
              <w:t xml:space="preserve">|</w:t>
            </w:r>
            <w:r w:rsidR="007333D0">
              <w:rPr>
                <w:noProof/>
              </w:rPr>
              <w:t/>
            </w:r>
            <w:r>
              <w:t xml:space="preserve"> </w:t>
            </w:r>
            <w:r w:rsidR="00FD4201" w:rsidRPr="00FD4201">
              <w:rPr>
                <w:b/>
                <w:bCs/>
                <w:color w:val="808080" w:themeColor="background1" w:themeShade="80"/>
              </w:rPr>
              <w:t xml:space="preserve">ROS1</w:t>
            </w:r>
            <w:r w:rsidR="00FD4201">
              <w:t xml:space="preserve"> </w:t>
            </w:r>
            <w:r w:rsidR="009E6C21">
              <w:t xml:space="preserve">|</w:t>
            </w:r>
            <w:r w:rsidR="007333D0">
              <w:rPr>
                <w:noProof/>
              </w:rPr>
              <w:t/>
            </w:r>
            <w:r w:rsidR="00D4214A">
              <w:rPr>
                <w:noProof/>
              </w:rPr>
              <w:t/>
            </w:r>
          </w:p>
          <w:p w14:paraId="3FEC7898" w14:textId="4F864D91" w:rsidR="003B5E31" w:rsidRPr="008C14C6" w:rsidRDefault="00236AA9" w:rsidP="003B5E31">
            <w:pPr>
              <w:pBdr>
                <w:top w:val="single" w:sz="4" w:space="1" w:color="auto"/>
                <w:bottom w:val="single" w:sz="4" w:space="1" w:color="auto"/>
              </w:pBdr>
              <w:spacing w:line="360" w:lineRule="auto"/>
              <w:rPr>
                <w:rFonts w:asciiTheme="majorHAnsi" w:hAnsiTheme="majorHAnsi" w:cstheme="majorHAnsi"/>
                <w:b/>
                <w:bCs/>
              </w:rPr>
            </w:pPr>
            <w:r>
              <w:rPr>
                <w:rFonts w:asciiTheme="majorHAnsi" w:hAnsiTheme="majorHAnsi" w:cstheme="majorHAnsi"/>
                <w:b/>
                <w:bCs/>
              </w:rPr>
              <w:t/>
            </w:r>
          </w:p>
          <w:tbl>
            <w:tblPr>
              <w:tblStyle w:val="TableGrid"/>
              <w:tblW w:w="10053" w:type="dxa"/>
              <w:tblInd w:w="2" w:type="dxa"/>
              <w:tblLayout w:type="fixed"/>
              <w:tblLook w:val="04A0" w:firstRow="1" w:lastRow="0" w:firstColumn="1" w:lastColumn="0" w:noHBand="0" w:noVBand="1"/>
            </w:tblPr>
            <w:tblGrid>
              <w:gridCol w:w="5629"/>
              <w:gridCol w:w="4424"/>
            </w:tblGrid>
            <w:tr w:rsidR="00B701A8" w14:paraId="20CF3473" w14:textId="77777777" w:rsidTr="00252F5D">
              <w:trPr>
                <w:trHeight w:val="309"/>
              </w:trPr>
              <w:tc>
                <w:tcPr>
                  <w:tcW w:w="5629" w:type="dxa"/>
                  <w:shd w:val="clear" w:color="auto" w:fill="000000" w:themeFill="text1"/>
                  <w:vAlign w:val="center"/>
                </w:tcPr>
                <w:p w14:paraId="34A9C5B8" w14:textId="11DA91FF" w:rsidR="00B701A8" w:rsidRPr="00CE1323" w:rsidRDefault="00B701A8" w:rsidP="008E1095">
                  <w:pPr>
                    <w:framePr w:hSpace="180" w:wrap="around" w:vAnchor="text" w:hAnchor="margin" w:xAlign="center" w:y="54"/>
                    <w:jc w:val="center"/>
                    <w:rPr>
                      <w:rFonts w:asciiTheme="majorHAnsi" w:hAnsiTheme="majorHAnsi" w:cstheme="majorHAnsi"/>
                      <w:b/>
                      <w:bCs/>
                      <w:color w:val="FFFFFF" w:themeColor="background1"/>
                    </w:rPr>
                  </w:pPr>
                  <w:r w:rsidRPr="00CE1323">
                    <w:rPr>
                      <w:rFonts w:asciiTheme="majorHAnsi" w:hAnsiTheme="majorHAnsi" w:cstheme="majorHAnsi"/>
                      <w:b/>
                      <w:bCs/>
                      <w:color w:val="FFFFFF" w:themeColor="background1"/>
                    </w:rPr>
                    <w:t>Genomic Finding</w:t>
                  </w:r>
                </w:p>
              </w:tc>
              <w:tc>
                <w:tcPr>
                  <w:tcW w:w="4424" w:type="dxa"/>
                  <w:shd w:val="clear" w:color="auto" w:fill="000000" w:themeFill="text1"/>
                </w:tcPr>
                <w:p w14:paraId="7012EB06" w14:textId="5F008836" w:rsidR="00B701A8" w:rsidRPr="00CE1323" w:rsidRDefault="00B701A8" w:rsidP="008E1095">
                  <w:pPr>
                    <w:framePr w:hSpace="180" w:wrap="around" w:vAnchor="text" w:hAnchor="margin" w:xAlign="center" w:y="54"/>
                    <w:jc w:val="center"/>
                    <w:rPr>
                      <w:rFonts w:asciiTheme="majorHAnsi" w:hAnsiTheme="majorHAnsi" w:cstheme="majorHAnsi"/>
                      <w:b/>
                      <w:bCs/>
                      <w:color w:val="FFFFFF" w:themeColor="background1"/>
                    </w:rPr>
                  </w:pPr>
                  <w:r w:rsidRPr="00CE1323">
                    <w:rPr>
                      <w:rFonts w:asciiTheme="majorHAnsi" w:hAnsiTheme="majorHAnsi" w:cstheme="majorHAnsi"/>
                      <w:b/>
                      <w:bCs/>
                      <w:color w:val="FFFFFF" w:themeColor="background1"/>
                    </w:rPr>
                    <w:t xml:space="preserve">Number </w:t>
                  </w:r>
                  <w:r w:rsidR="00E30DD2" w:rsidRPr="00CE1323">
                    <w:rPr>
                      <w:rFonts w:asciiTheme="majorHAnsi" w:hAnsiTheme="majorHAnsi" w:cstheme="majorHAnsi"/>
                      <w:b/>
                      <w:bCs/>
                      <w:color w:val="FFFFFF" w:themeColor="background1"/>
                    </w:rPr>
                    <w:t>of Findings Detected</w:t>
                  </w:r>
                </w:p>
              </w:tc>
            </w:tr>
            <w:tr w:rsidR="00657899" w14:paraId="351BC295" w14:textId="77777777" w:rsidTr="00D523A6">
              <w:trPr>
                <w:trHeight w:val="336"/>
              </w:trPr>
              <w:tc>
                <w:tcPr>
                  <w:tcW w:w="5629" w:type="dxa"/>
                  <w:shd w:val="clear" w:color="auto" w:fill="FFFFFF" w:themeFill="background1"/>
                </w:tcPr>
                <w:p w14:paraId="481BEF93" w14:textId="6A37F0B2" w:rsidR="00657899" w:rsidRDefault="00657899" w:rsidP="008E1095">
                  <w:pPr>
                    <w:framePr w:hSpace="180" w:wrap="around" w:vAnchor="text" w:hAnchor="margin" w:xAlign="center" w:y="54"/>
                    <w:jc w:val="center"/>
                  </w:pPr>
                  <w:r>
                    <w:t>Genomic Findings with Clinical Evidence</w:t>
                  </w:r>
                </w:p>
              </w:tc>
              <w:tc>
                <w:tcPr>
                  <w:tcW w:w="4424" w:type="dxa"/>
                  <w:shd w:val="clear" w:color="auto" w:fill="FFFFFF" w:themeFill="background1"/>
                </w:tcPr>
                <w:p w14:paraId="72C2C566" w14:textId="32AA100B" w:rsidR="00657899" w:rsidRDefault="00657899" w:rsidP="008E1095">
                  <w:pPr>
                    <w:framePr w:hSpace="180" w:wrap="around" w:vAnchor="text" w:hAnchor="margin" w:xAlign="center" w:y="54"/>
                    <w:jc w:val="center"/>
                  </w:pPr>
                  <w:r>
                    <w:t xml:space="preserve">1</w:t>
                  </w:r>
                  <w:proofErr w:type="spellStart"/>
                  <w:r>
                    <w:t/>
                  </w:r>
                  <w:r w:rsidRPr="00E54896">
                    <w:t/>
                  </w:r>
                  <w:r>
                    <w:t/>
                  </w:r>
                  <w:r w:rsidRPr="00E54896">
                    <w:t/>
                  </w:r>
                  <w:proofErr w:type="spellEnd"/>
                  <w:r>
                    <w:t/>
                  </w:r>
                </w:p>
              </w:tc>
            </w:tr>
            <w:tr w:rsidR="00657899" w14:paraId="7AB578B4" w14:textId="77777777" w:rsidTr="00D523A6">
              <w:trPr>
                <w:trHeight w:val="416"/>
              </w:trPr>
              <w:tc>
                <w:tcPr>
                  <w:tcW w:w="5629" w:type="dxa"/>
                  <w:shd w:val="clear" w:color="auto" w:fill="D0CECE" w:themeFill="background2" w:themeFillShade="E6"/>
                </w:tcPr>
                <w:p w14:paraId="05049098" w14:textId="67B89663" w:rsidR="00657899" w:rsidRPr="00285A28" w:rsidRDefault="00657899" w:rsidP="008E1095">
                  <w:pPr>
                    <w:framePr w:hSpace="180" w:wrap="around" w:vAnchor="text" w:hAnchor="margin" w:xAlign="center" w:y="54"/>
                    <w:jc w:val="center"/>
                  </w:pPr>
                  <w:r>
                    <w:t>Genomic Findings with Prognostic/Diagnostic Evidence</w:t>
                  </w:r>
                </w:p>
              </w:tc>
              <w:tc>
                <w:tcPr>
                  <w:tcW w:w="4424" w:type="dxa"/>
                  <w:shd w:val="clear" w:color="auto" w:fill="D0CECE" w:themeFill="background2" w:themeFillShade="E6"/>
                </w:tcPr>
                <w:p w14:paraId="1B2BCF1E" w14:textId="5CA44AC6" w:rsidR="00657899" w:rsidRPr="00285A28" w:rsidRDefault="00657899" w:rsidP="008E1095">
                  <w:pPr>
                    <w:framePr w:hSpace="180" w:wrap="around" w:vAnchor="text" w:hAnchor="margin" w:xAlign="center" w:y="54"/>
                    <w:jc w:val="center"/>
                  </w:pPr>
                  <w:r>
                    <w:t xml:space="preserve">1</w:t>
                  </w:r>
                  <w:proofErr w:type="spellStart"/>
                  <w:r>
                    <w:t/>
                  </w:r>
                  <w:r w:rsidRPr="00677CE8">
                    <w:t/>
                  </w:r>
                  <w:proofErr w:type="spellEnd"/>
                  <w:r>
                    <w:t/>
                  </w:r>
                </w:p>
              </w:tc>
            </w:tr>
            <w:tr w:rsidR="00657899" w14:paraId="53F40ACA" w14:textId="77777777" w:rsidTr="00D523A6">
              <w:trPr>
                <w:trHeight w:val="323"/>
              </w:trPr>
              <w:tc>
                <w:tcPr>
                  <w:tcW w:w="5629" w:type="dxa"/>
                  <w:shd w:val="clear" w:color="auto" w:fill="FFFFFF" w:themeFill="background1"/>
                </w:tcPr>
                <w:p w14:paraId="1EE4842F" w14:textId="207CFD9D" w:rsidR="00657899" w:rsidRDefault="00657899" w:rsidP="008E1095">
                  <w:pPr>
                    <w:framePr w:hSpace="180" w:wrap="around" w:vAnchor="text" w:hAnchor="margin" w:xAlign="center" w:y="54"/>
                    <w:jc w:val="center"/>
                  </w:pPr>
                  <w:r>
                    <w:t>Variants with Potential Significance</w:t>
                  </w:r>
                </w:p>
              </w:tc>
              <w:tc>
                <w:tcPr>
                  <w:tcW w:w="4424" w:type="dxa"/>
                  <w:shd w:val="clear" w:color="auto" w:fill="FFFFFF" w:themeFill="background1"/>
                </w:tcPr>
                <w:p w14:paraId="3FAFBD0A" w14:textId="08D22D08" w:rsidR="00657899" w:rsidRDefault="00657899" w:rsidP="008E1095">
                  <w:pPr>
                    <w:framePr w:hSpace="180" w:wrap="around" w:vAnchor="text" w:hAnchor="margin" w:xAlign="center" w:y="54"/>
                    <w:jc w:val="center"/>
                  </w:pPr>
                  <w:r>
                    <w:t xml:space="preserve">0</w:t>
                  </w:r>
                  <w:proofErr w:type="spellStart"/>
                  <w:r>
                    <w:t/>
                  </w:r>
                  <w:proofErr w:type="spellEnd"/>
                  <w:r>
                    <w:t/>
                  </w:r>
                </w:p>
              </w:tc>
            </w:tr>
            <w:tr w:rsidR="00657899" w14:paraId="3FB19679" w14:textId="77777777" w:rsidTr="00D523A6">
              <w:trPr>
                <w:trHeight w:val="336"/>
              </w:trPr>
              <w:tc>
                <w:tcPr>
                  <w:tcW w:w="5629" w:type="dxa"/>
                  <w:shd w:val="clear" w:color="auto" w:fill="D0CECE" w:themeFill="background2" w:themeFillShade="E6"/>
                </w:tcPr>
                <w:p w14:paraId="544EBF46" w14:textId="7FABDDB0" w:rsidR="00657899" w:rsidRDefault="00657899" w:rsidP="008E1095">
                  <w:pPr>
                    <w:framePr w:hSpace="180" w:wrap="around" w:vAnchor="text" w:hAnchor="margin" w:xAlign="center" w:y="54"/>
                    <w:jc w:val="center"/>
                  </w:pPr>
                  <w:r>
                    <w:t>Germline Alterations</w:t>
                  </w:r>
                </w:p>
              </w:tc>
              <w:tc>
                <w:tcPr>
                  <w:tcW w:w="4424" w:type="dxa"/>
                  <w:shd w:val="clear" w:color="auto" w:fill="D0CECE" w:themeFill="background2" w:themeFillShade="E6"/>
                </w:tcPr>
                <w:p w14:paraId="6C0CBCBD" w14:textId="2CAC8BB4" w:rsidR="00657899" w:rsidRDefault="00657899" w:rsidP="008E1095">
                  <w:pPr>
                    <w:framePr w:hSpace="180" w:wrap="around" w:vAnchor="text" w:hAnchor="margin" w:xAlign="center" w:y="54"/>
                    <w:jc w:val="center"/>
                  </w:pPr>
                  <w:r>
                    <w:t xml:space="preserve">0</w:t>
                  </w:r>
                  <w:bookmarkStart w:id="0" w:name="_Hlk115881229"/>
                  <w:proofErr w:type="spellStart"/>
                  <w:r>
                    <w:t/>
                  </w:r>
                  <w:bookmarkEnd w:id="0"/>
                  <w:r>
                    <w:t/>
                  </w:r>
                  <w:proofErr w:type="spellEnd"/>
                  <w:r>
                    <w:t/>
                  </w:r>
                </w:p>
              </w:tc>
            </w:tr>
          </w:tbl>
          <w:p w14:paraId="5FC89188" w14:textId="77777777" w:rsidR="0075111E" w:rsidRPr="00BF1A9E" w:rsidRDefault="0075111E" w:rsidP="0075111E"/>
        </w:tc>
      </w:tr>
      <w:tr w:rsidR="006E37F7" w14:paraId="4F450314" w14:textId="77777777" w:rsidTr="00D523A6">
        <w:trPr>
          <w:trHeight w:val="51"/>
        </w:trPr>
        <w:tc>
          <w:tcPr>
            <w:tcW w:w="10301" w:type="dxa"/>
          </w:tcPr>
          <w:p w14:paraId="23A36ACD" w14:textId="6F419880" w:rsidR="006E37F7" w:rsidRPr="00410608" w:rsidRDefault="006E37F7" w:rsidP="00410608">
            <w:pPr>
              <w:pStyle w:val="Heading2"/>
              <w:spacing w:before="0"/>
              <w:outlineLvl w:val="1"/>
              <w:rPr>
                <w:b/>
                <w:smallCaps/>
                <w:color w:val="5D98C9"/>
                <w:sz w:val="12"/>
                <w:szCs w:val="12"/>
                <w:u w:val="single"/>
              </w:rPr>
            </w:pPr>
          </w:p>
        </w:tc>
      </w:tr>
    </w:tbl>
    <w:p w14:paraId="1FF8C80A" w14:textId="1DE021F6" w:rsidR="0075111E" w:rsidRDefault="00FB1D3C" w:rsidP="0002665A">
      <w:pPr>
        <w:spacing w:after="240"/>
        <w:rPr>
          <w:color w:val="7F7F7F" w:themeColor="text1" w:themeTint="80"/>
          <w:sz w:val="20"/>
          <w:szCs w:val="20"/>
        </w:rPr>
      </w:pPr>
      <w:r>
        <w:rPr>
          <w:color w:val="7F7F7F" w:themeColor="text1" w:themeTint="80"/>
          <w:sz w:val="20"/>
          <w:szCs w:val="20"/>
        </w:rPr>
        <w:t/>
      </w:r>
      <w:r>
        <w:t/>
      </w:r>
      <w:r w:rsidRPr="00FB1D3C">
        <w:rPr>
          <w:color w:val="7F7F7F" w:themeColor="text1" w:themeTint="80"/>
          <w:sz w:val="20"/>
          <w:szCs w:val="20"/>
        </w:rPr>
        <w:t/>
      </w:r>
      <w:r>
        <w:rPr>
          <w:color w:val="7F7F7F" w:themeColor="text1" w:themeTint="80"/>
          <w:sz w:val="20"/>
          <w:szCs w:val="20"/>
        </w:rPr>
        <w:t/>
      </w:r>
    </w:p>
    <w:p w14:paraId="42C9360B" w14:textId="3BE611D7" w:rsidR="0075111E" w:rsidRPr="00102DF1" w:rsidRDefault="00D66418" w:rsidP="0075111E">
      <w:pPr>
        <w:pStyle w:val="Heading1"/>
        <w:rPr>
          <w:rFonts w:asciiTheme="minorHAnsi" w:hAnsiTheme="minorHAnsi" w:cstheme="minorHAnsi"/>
          <w:b/>
          <w:bCs/>
          <w:color w:val="000000" w:themeColor="text1"/>
          <w:u w:val="single"/>
        </w:rPr>
      </w:pPr>
      <w:bookmarkStart w:id="1" w:name="_Hlk110584490"/>
      <w:r>
        <w:rPr>
          <w:rFonts w:asciiTheme="minorHAnsi" w:hAnsiTheme="minorHAnsi" w:cstheme="minorHAnsi"/>
          <w:b/>
          <w:smallCaps/>
          <w:color w:val="0D0D0D" w:themeColor="text1" w:themeTint="F2"/>
          <w:spacing w:val="10"/>
          <w:sz w:val="28"/>
          <w:u w:val="single"/>
        </w:rPr>
        <w:t xml:space="preserve">G</w:t>
      </w:r>
      <w:r w:rsidR="00966A3B">
        <w:rPr>
          <w:rFonts w:asciiTheme="minorHAnsi" w:hAnsiTheme="minorHAnsi" w:cstheme="minorHAnsi"/>
          <w:b/>
          <w:smallCaps/>
          <w:color w:val="0D0D0D" w:themeColor="text1" w:themeTint="F2"/>
          <w:spacing w:val="10"/>
          <w:sz w:val="28"/>
          <w:u w:val="single"/>
        </w:rPr>
        <w:t xml:space="preserve">enomic findings</w:t>
      </w:r>
      <w:r w:rsidR="00102DF1" w:rsidRPr="00102DF1">
        <w:rPr>
          <w:rFonts w:asciiTheme="minorHAnsi" w:hAnsiTheme="minorHAnsi" w:cstheme="minorHAnsi"/>
          <w:b/>
          <w:smallCaps/>
          <w:color w:val="0D0D0D" w:themeColor="text1" w:themeTint="F2"/>
          <w:spacing w:val="10"/>
          <w:sz w:val="28"/>
          <w:u w:val="single"/>
        </w:rPr>
        <w:t xml:space="preserve"> with </w:t>
      </w:r>
      <w:r w:rsidR="00436394">
        <w:rPr>
          <w:rFonts w:asciiTheme="minorHAnsi" w:hAnsiTheme="minorHAnsi" w:cstheme="minorHAnsi"/>
          <w:b/>
          <w:smallCaps/>
          <w:color w:val="0D0D0D" w:themeColor="text1" w:themeTint="F2"/>
          <w:spacing w:val="10"/>
          <w:sz w:val="28"/>
          <w:u w:val="single"/>
        </w:rPr>
        <w:t xml:space="preserve">E</w:t>
      </w:r>
      <w:r w:rsidR="00102DF1" w:rsidRPr="00102DF1">
        <w:rPr>
          <w:rFonts w:asciiTheme="minorHAnsi" w:hAnsiTheme="minorHAnsi" w:cstheme="minorHAnsi"/>
          <w:b/>
          <w:smallCaps/>
          <w:color w:val="0D0D0D" w:themeColor="text1" w:themeTint="F2"/>
          <w:spacing w:val="10"/>
          <w:sz w:val="28"/>
          <w:u w:val="single"/>
        </w:rPr>
        <w:t xml:space="preserve">vidence of </w:t>
      </w:r>
      <w:r w:rsidR="00436394">
        <w:rPr>
          <w:rFonts w:asciiTheme="minorHAnsi" w:hAnsiTheme="minorHAnsi" w:cstheme="minorHAnsi"/>
          <w:b/>
          <w:smallCaps/>
          <w:color w:val="0D0D0D" w:themeColor="text1" w:themeTint="F2"/>
          <w:spacing w:val="10"/>
          <w:sz w:val="28"/>
          <w:u w:val="single"/>
        </w:rPr>
        <w:t xml:space="preserve">C</w:t>
      </w:r>
      <w:r w:rsidR="00102DF1" w:rsidRPr="00102DF1">
        <w:rPr>
          <w:rFonts w:asciiTheme="minorHAnsi" w:hAnsiTheme="minorHAnsi" w:cstheme="minorHAnsi"/>
          <w:b/>
          <w:smallCaps/>
          <w:color w:val="0D0D0D" w:themeColor="text1" w:themeTint="F2"/>
          <w:spacing w:val="10"/>
          <w:sz w:val="28"/>
          <w:u w:val="single"/>
        </w:rPr>
        <w:t xml:space="preserve">linical </w:t>
      </w:r>
      <w:r w:rsidR="00436394">
        <w:rPr>
          <w:rFonts w:asciiTheme="minorHAnsi" w:hAnsiTheme="minorHAnsi" w:cstheme="minorHAnsi"/>
          <w:b/>
          <w:smallCaps/>
          <w:color w:val="0D0D0D" w:themeColor="text1" w:themeTint="F2"/>
          <w:spacing w:val="10"/>
          <w:sz w:val="28"/>
          <w:u w:val="single"/>
        </w:rPr>
        <w:t xml:space="preserve">S</w:t>
      </w:r>
      <w:r w:rsidR="00102DF1" w:rsidRPr="00102DF1">
        <w:rPr>
          <w:rFonts w:asciiTheme="minorHAnsi" w:hAnsiTheme="minorHAnsi" w:cstheme="minorHAnsi"/>
          <w:b/>
          <w:smallCaps/>
          <w:color w:val="0D0D0D" w:themeColor="text1" w:themeTint="F2"/>
          <w:spacing w:val="10"/>
          <w:sz w:val="28"/>
          <w:u w:val="single"/>
        </w:rPr>
        <w:t xml:space="preserve">ignificance</w:t>
      </w:r>
      <w:r w:rsidR="0075111E" w:rsidRPr="00102DF1">
        <w:rPr>
          <w:rFonts w:asciiTheme="minorHAnsi" w:hAnsiTheme="minorHAnsi" w:cstheme="minorHAnsi"/>
          <w:b/>
          <w:bCs/>
          <w:color w:val="000000" w:themeColor="text1"/>
          <w:u w:val="single"/>
        </w:rPr>
        <w:tab/>
      </w:r>
      <w:r w:rsidR="00102DF1" w:rsidRPr="00102DF1">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r>
        <w:rPr>
          <w:rFonts w:asciiTheme="minorHAnsi" w:hAnsiTheme="minorHAnsi" w:cstheme="minorHAnsi"/>
          <w:b/>
          <w:bCs/>
          <w:color w:val="000000" w:themeColor="text1"/>
          <w:u w:val="single"/>
        </w:rPr>
        <w:tab/>
      </w:r>
    </w:p>
    <w:bookmarkEnd w:id="1"/>
    <w:p w14:paraId="3EA2CB9E" w14:textId="54FB1B73" w:rsidR="009310C5" w:rsidRPr="00102DF1" w:rsidRDefault="0013688A" w:rsidP="00545CC8">
      <w:pPr>
        <w:rPr>
          <w:rFonts w:cstheme="minorHAnsi"/>
        </w:rPr>
      </w:pPr>
      <w:r>
        <w:rPr>
          <w:rFonts w:cstheme="minorHAnsi"/>
        </w:rPr>
        <w:t/>
      </w:r>
      <w:r w:rsidR="004640A6" w:rsidRPr="004640A6">
        <w:t/>
      </w:r>
      <w:r>
        <w:t/>
      </w:r>
    </w:p>
    <w:p w14:paraId="066A33F5" w14:textId="77777777" w:rsidR="009310C5" w:rsidRPr="00D7205E" w:rsidRDefault="009310C5" w:rsidP="00545CC8">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Genomic Findings with Clinical Evidence</w:t>
      </w:r>
    </w:p>
    <w:tbl>
      <w:tblPr>
        <w:tblStyle w:val="ListTable6Colorful-Accent3"/>
        <w:tblpPr w:leftFromText="180" w:rightFromText="180" w:vertAnchor="text" w:tblpY="1"/>
        <w:tblW w:w="10908" w:type="dxa"/>
        <w:tblLayout w:type="fixed"/>
        <w:tblLook w:val="04A0" w:firstRow="1" w:lastRow="0" w:firstColumn="1" w:lastColumn="0" w:noHBand="0" w:noVBand="1"/>
      </w:tblPr>
      <w:tblGrid>
        <w:gridCol w:w="1728"/>
        <w:gridCol w:w="2306"/>
        <w:gridCol w:w="2340"/>
        <w:gridCol w:w="1530"/>
        <w:gridCol w:w="3004"/>
      </w:tblGrid>
      <w:tr w:rsidR="009310C5" w:rsidRPr="00D7205E" w14:paraId="145B360D" w14:textId="77777777" w:rsidTr="00545CC8">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728" w:type="dxa"/>
          </w:tcPr>
          <w:p w14:paraId="33580363" w14:textId="77777777" w:rsidR="009310C5" w:rsidRPr="00D7205E" w:rsidRDefault="009310C5" w:rsidP="009310C5">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2306" w:type="dxa"/>
          </w:tcPr>
          <w:p w14:paraId="5286CE72" w14:textId="77777777" w:rsidR="009310C5" w:rsidRPr="00D7205E" w:rsidRDefault="009310C5" w:rsidP="009310C5">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Pr>
                <w:rFonts w:cstheme="minorHAnsi"/>
                <w:smallCaps/>
                <w:color w:val="0D0D0D" w:themeColor="text1" w:themeTint="F2"/>
              </w:rPr>
              <w:t xml:space="preserve">FDA-Approved Therapies</w:t>
            </w:r>
          </w:p>
          <w:p w14:paraId="18AAD152" w14:textId="77777777" w:rsidR="009310C5" w:rsidRPr="000E399D" w:rsidRDefault="009310C5" w:rsidP="009310C5">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sidRPr="000E399D">
              <w:rPr>
                <w:rFonts w:cstheme="minorHAnsi"/>
                <w:b w:val="0"/>
                <w:bCs w:val="0"/>
                <w:smallCaps/>
                <w:color w:val="0D0D0D" w:themeColor="text1" w:themeTint="F2"/>
              </w:rPr>
              <w:t xml:space="preserve">in Patient’s Tumor Type</w:t>
            </w:r>
          </w:p>
        </w:tc>
        <w:tc>
          <w:tcPr>
            <w:tcW w:w="2340" w:type="dxa"/>
          </w:tcPr>
          <w:p w14:paraId="1252024F" w14:textId="190CEB68" w:rsidR="009310C5" w:rsidRPr="000E399D" w:rsidRDefault="003D0CE2" w:rsidP="009310C5">
            <w:pPr>
              <w:cnfStyle w:val="100000000000" w:firstRow="1" w:lastRow="0" w:firstColumn="0" w:lastColumn="0" w:oddVBand="0" w:evenVBand="0" w:oddHBand="0" w:evenHBand="0" w:firstRowFirstColumn="0" w:firstRowLastColumn="0" w:lastRowFirstColumn="0" w:lastRowLastColumn="0"/>
              <w:rPr>
                <w:rFonts w:cstheme="minorHAnsi"/>
                <w:b w:val="0"/>
                <w:bCs w:val="0"/>
                <w:color w:val="0D0D0D" w:themeColor="text1" w:themeTint="F2"/>
                <w:sz w:val="20"/>
                <w:szCs w:val="20"/>
              </w:rPr>
            </w:pPr>
            <w:r>
              <w:rPr>
                <w:rFonts w:cstheme="minorHAnsi"/>
                <w:smallCaps/>
                <w:color w:val="0D0D0D" w:themeColor="text1" w:themeTint="F2"/>
              </w:rPr>
              <w:t xml:space="preserve">Therapies of Potential Significance</w:t>
            </w:r>
          </w:p>
        </w:tc>
        <w:tc>
          <w:tcPr>
            <w:tcW w:w="1530" w:type="dxa"/>
          </w:tcPr>
          <w:p w14:paraId="6F2F4EAA" w14:textId="77777777" w:rsidR="009310C5" w:rsidRDefault="009310C5" w:rsidP="009310C5">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Resistance</w:t>
            </w:r>
          </w:p>
        </w:tc>
        <w:tc>
          <w:tcPr>
            <w:tcW w:w="3004" w:type="dxa"/>
          </w:tcPr>
          <w:p w14:paraId="04E9B1EB" w14:textId="77777777" w:rsidR="009310C5" w:rsidRPr="00D7205E" w:rsidRDefault="009310C5" w:rsidP="009310C5">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Potential Clinical Trials</w:t>
            </w:r>
          </w:p>
        </w:tc>
      </w:tr>
      <w:tr w:rsidR="009310C5" w14:paraId="2BE6C8BB" w14:textId="77777777" w:rsidTr="00545CC8">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728" w:type="dxa"/>
          </w:tcPr>
          <w:p w14:paraId="0A35549C" w14:textId="77777777" w:rsidR="009310C5" w:rsidRPr="00DD7985" w:rsidRDefault="009310C5" w:rsidP="009310C5">
            <w:pPr>
              <w:rPr>
                <w:rFonts w:cstheme="minorHAnsi"/>
                <w:b w:val="0"/>
                <w:smallCaps/>
                <w:color w:val="0D0D0D" w:themeColor="text1" w:themeTint="F2"/>
              </w:rPr>
            </w:pPr>
            <w:r w:rsidRPr="00DD7985">
              <w:rPr>
                <w:b w:val="0"/>
                <w:i/>
                <w:color w:val="404040" w:themeColor="text1" w:themeTint="BF"/>
                <w:sz w:val="20"/>
                <w:szCs w:val="20"/>
              </w:rPr>
              <w:t/>
            </w:r>
          </w:p>
        </w:tc>
        <w:tc>
          <w:tcPr>
            <w:tcW w:w="2306" w:type="dxa"/>
          </w:tcPr>
          <w:p w14:paraId="3AFBADE1" w14:textId="77777777" w:rsidR="009310C5" w:rsidRDefault="009310C5" w:rsidP="009310C5">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sz w:val="20"/>
                <w:szCs w:val="20"/>
              </w:rPr>
              <w:t xml:space="preserve">Afatinib, Atezolizumab, Bevacizumab, Durvalumab, Necitumumab, Nivolumab, Ramucirumab </w:t>
            </w:r>
            <w:r>
              <w:rPr>
                <w:sz w:val="20"/>
                <w:szCs w:val="20"/>
                <w:color w:val="70AD47"/>
              </w:rPr>
              <w:t xml:space="preserve">(1A)</w:t>
            </w:r>
            <w:r>
              <w:br/>
            </w:r>
            <w:r>
              <w:rPr>
                <w:sz w:val="20"/>
                <w:szCs w:val="20"/>
              </w:rPr>
              <w:t xml:space="preserve">Atezolizumab, Durvalumab, Nivolumab </w:t>
            </w:r>
            <w:r>
              <w:rPr>
                <w:sz w:val="20"/>
                <w:szCs w:val="20"/>
                <w:color w:val="70AD47"/>
              </w:rPr>
              <w:t xml:space="preserve">(1A)</w:t>
            </w:r>
            <w:r>
              <w:br/>
            </w:r>
            <w:r>
              <w:rPr>
                <w:sz w:val="20"/>
                <w:szCs w:val="20"/>
              </w:rPr>
              <w:t xml:space="preserve">Atezolizumab, Durvalumab, Nivolumab </w:t>
            </w:r>
            <w:r>
              <w:rPr>
                <w:sz w:val="20"/>
                <w:szCs w:val="20"/>
                <w:color w:val="70AD47"/>
              </w:rPr>
              <w:t xml:space="preserve">(1A)</w:t>
            </w:r>
            <w:r>
              <w:br/>
            </w:r>
            <w:r>
              <w:rPr>
                <w:sz w:val="20"/>
                <w:szCs w:val="20"/>
              </w:rPr>
              <w:t xml:space="preserve">Afatinib, Atezolizumab, Bevacizumab, Durvalumab, Necitumumab, Nivolumab, Ramucirumab </w:t>
            </w:r>
            <w:r>
              <w:rPr>
                <w:sz w:val="20"/>
                <w:szCs w:val="20"/>
                <w:color w:val="70AD47"/>
              </w:rPr>
              <w:t xml:space="preserve">(1A)</w:t>
            </w:r>
            <w:proofErr w:type="spellStart"/>
            <w:r w:rsidRPr="0060344F">
              <w:rPr>
                <w:color w:val="404040" w:themeColor="text1" w:themeTint="BF"/>
                <w:sz w:val="20"/>
                <w:szCs w:val="20"/>
              </w:rPr>
              <w:t/>
            </w:r>
            <w:proofErr w:type="spellEnd"/>
            <w:r>
              <w:rPr>
                <w:color w:val="404040" w:themeColor="text1" w:themeTint="BF"/>
                <w:sz w:val="20"/>
                <w:szCs w:val="20"/>
              </w:rPr>
              <w:t/>
            </w:r>
          </w:p>
        </w:tc>
        <w:tc>
          <w:tcPr>
            <w:tcW w:w="2340" w:type="dxa"/>
          </w:tcPr>
          <w:p w14:paraId="644A55F8" w14:textId="302ACD80" w:rsidR="009310C5" w:rsidRDefault="009310C5" w:rsidP="009310C5">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sz w:val="20"/>
                <w:szCs w:val="20"/>
              </w:rPr>
              <w:t xml:space="preserve">None</w:t>
            </w:r>
            <w:proofErr w:type="spellStart"/>
            <w:r w:rsidR="00F27985">
              <w:rPr>
                <w:i/>
                <w:iCs/>
                <w:color w:val="404040" w:themeColor="text1" w:themeTint="BF"/>
                <w:sz w:val="20"/>
                <w:szCs w:val="20"/>
              </w:rPr>
              <w:t/>
            </w:r>
            <w:proofErr w:type="spellEnd"/>
            <w:r>
              <w:rPr>
                <w:i/>
                <w:iCs/>
                <w:color w:val="404040" w:themeColor="text1" w:themeTint="BF"/>
                <w:sz w:val="20"/>
                <w:szCs w:val="20"/>
              </w:rPr>
              <w:t/>
            </w:r>
          </w:p>
        </w:tc>
        <w:tc>
          <w:tcPr>
            <w:tcW w:w="1530" w:type="dxa"/>
          </w:tcPr>
          <w:p w14:paraId="12D10501" w14:textId="77777777" w:rsidR="009310C5" w:rsidRDefault="009310C5" w:rsidP="009310C5">
            <w:pPr>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None</w:t>
            </w:r>
            <w:r w:rsidRPr="00B21244">
              <w:rPr>
                <w:color w:val="404040" w:themeColor="text1" w:themeTint="BF"/>
                <w:sz w:val="20"/>
                <w:szCs w:val="20"/>
              </w:rPr>
              <w:t/>
            </w:r>
            <w:r>
              <w:rPr>
                <w:color w:val="404040" w:themeColor="text1" w:themeTint="BF"/>
                <w:sz w:val="20"/>
                <w:szCs w:val="20"/>
              </w:rPr>
              <w:t/>
            </w:r>
          </w:p>
        </w:tc>
        <w:tc>
          <w:tcPr>
            <w:tcW w:w="3004" w:type="dxa"/>
          </w:tcPr>
          <w:p w14:paraId="77B9BF24" w14:textId="36088C0B" w:rsidR="009310C5" w:rsidRDefault="009310C5" w:rsidP="009310C5">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sz w:val="20"/>
                <w:szCs w:val="20"/>
              </w:rPr>
              <w:t xml:space="preserve">Yes, see clinical trials section</w:t>
            </w:r>
            <w:r w:rsidR="00306182">
              <w:rPr>
                <w:color w:val="404040" w:themeColor="text1" w:themeTint="BF"/>
                <w:sz w:val="20"/>
                <w:szCs w:val="20"/>
              </w:rPr>
              <w:t/>
            </w:r>
            <w:proofErr w:type="spellStart"/>
            <w:r>
              <w:rPr>
                <w:color w:val="404040" w:themeColor="text1" w:themeTint="BF"/>
                <w:sz w:val="20"/>
                <w:szCs w:val="20"/>
              </w:rPr>
              <w:t/>
            </w:r>
            <w:proofErr w:type="spellEnd"/>
            <w:r>
              <w:rPr>
                <w:color w:val="404040" w:themeColor="text1" w:themeTint="BF"/>
                <w:sz w:val="20"/>
                <w:szCs w:val="20"/>
              </w:rPr>
              <w:t/>
            </w:r>
          </w:p>
        </w:tc>
      </w:tr>
      <w:tr w:rsidR="009310C5" w14:paraId="2BE6C8BB" w14:textId="77777777" w:rsidTr="00545CC8">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728" w:type="dxa"/>
          </w:tcPr>
          <w:p w14:paraId="0A35549C" w14:textId="77777777" w:rsidR="009310C5" w:rsidRPr="00DD7985" w:rsidRDefault="009310C5" w:rsidP="009310C5">
            <w:pPr>
              <w:rPr>
                <w:rFonts w:cstheme="minorHAnsi"/>
                <w:b w:val="0"/>
                <w:smallCaps/>
                <w:color w:val="0D0D0D" w:themeColor="text1" w:themeTint="F2"/>
              </w:rPr>
            </w:pPr>
            <w:r w:rsidRPr="00DD7985">
              <w:rPr>
                <w:b w:val="0"/>
                <w:i/>
                <w:color w:val="404040" w:themeColor="text1" w:themeTint="BF"/>
                <w:sz w:val="20"/>
                <w:szCs w:val="20"/>
              </w:rPr>
              <w:t/>
            </w:r>
            <w:r>
              <w:rPr>
                <w:sz w:val="20"/>
                <w:szCs w:val="20"/>
              </w:rPr>
              <w:t xml:space="preserve">EGFR T790M</w:t>
            </w:r>
          </w:p>
        </w:tc>
        <w:tc>
          <w:tcPr>
            <w:tcW w:w="2306" w:type="dxa"/>
          </w:tcPr>
          <w:p w14:paraId="3AFBADE1" w14:textId="77777777" w:rsidR="009310C5" w:rsidRDefault="009310C5" w:rsidP="009310C5">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sz w:val="20"/>
                <w:szCs w:val="20"/>
              </w:rPr>
              <w:t xml:space="preserve">Osimertinib </w:t>
            </w:r>
            <w:r>
              <w:rPr>
                <w:sz w:val="20"/>
                <w:szCs w:val="20"/>
                <w:color w:val="70AD47"/>
              </w:rPr>
              <w:t xml:space="preserve">(1A)</w:t>
            </w:r>
            <w:r>
              <w:br/>
            </w:r>
            <w:r>
              <w:rPr>
                <w:sz w:val="20"/>
                <w:szCs w:val="20"/>
              </w:rPr>
              <w:t xml:space="preserve">Osimertinib </w:t>
            </w:r>
            <w:r>
              <w:rPr>
                <w:sz w:val="20"/>
                <w:szCs w:val="20"/>
                <w:color w:val="70AD47"/>
              </w:rPr>
              <w:t xml:space="preserve">(1A)</w:t>
            </w:r>
            <w:proofErr w:type="spellStart"/>
            <w:r w:rsidRPr="0060344F">
              <w:rPr>
                <w:color w:val="404040" w:themeColor="text1" w:themeTint="BF"/>
                <w:sz w:val="20"/>
                <w:szCs w:val="20"/>
              </w:rPr>
              <w:t/>
            </w:r>
            <w:proofErr w:type="spellEnd"/>
            <w:r>
              <w:rPr>
                <w:color w:val="404040" w:themeColor="text1" w:themeTint="BF"/>
                <w:sz w:val="20"/>
                <w:szCs w:val="20"/>
              </w:rPr>
              <w:t/>
            </w:r>
          </w:p>
        </w:tc>
        <w:tc>
          <w:tcPr>
            <w:tcW w:w="2340" w:type="dxa"/>
          </w:tcPr>
          <w:p w14:paraId="644A55F8" w14:textId="302ACD80" w:rsidR="009310C5" w:rsidRDefault="009310C5" w:rsidP="009310C5">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sz w:val="20"/>
                <w:szCs w:val="20"/>
              </w:rPr>
              <w:t xml:space="preserve">None</w:t>
            </w:r>
            <w:proofErr w:type="spellStart"/>
            <w:r w:rsidR="00F27985">
              <w:rPr>
                <w:i/>
                <w:iCs/>
                <w:color w:val="404040" w:themeColor="text1" w:themeTint="BF"/>
                <w:sz w:val="20"/>
                <w:szCs w:val="20"/>
              </w:rPr>
              <w:t/>
            </w:r>
            <w:proofErr w:type="spellEnd"/>
            <w:r>
              <w:rPr>
                <w:i/>
                <w:iCs/>
                <w:color w:val="404040" w:themeColor="text1" w:themeTint="BF"/>
                <w:sz w:val="20"/>
                <w:szCs w:val="20"/>
              </w:rPr>
              <w:t/>
            </w:r>
          </w:p>
        </w:tc>
        <w:tc>
          <w:tcPr>
            <w:tcW w:w="1530" w:type="dxa"/>
          </w:tcPr>
          <w:p w14:paraId="12D10501" w14:textId="77777777" w:rsidR="009310C5" w:rsidRDefault="009310C5" w:rsidP="009310C5">
            <w:pPr>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Afatinib, Dacomitinib, Erlotinib, Gefitinib </w:t>
            </w:r>
            <w:r>
              <w:rPr>
                <w:sz w:val="20"/>
                <w:szCs w:val="20"/>
                <w:color w:val="70AD47"/>
              </w:rPr>
              <w:t xml:space="preserve">(1A)</w:t>
            </w:r>
            <w:r w:rsidRPr="00B21244">
              <w:rPr>
                <w:color w:val="404040" w:themeColor="text1" w:themeTint="BF"/>
                <w:sz w:val="20"/>
                <w:szCs w:val="20"/>
              </w:rPr>
              <w:t/>
            </w:r>
            <w:r>
              <w:rPr>
                <w:color w:val="404040" w:themeColor="text1" w:themeTint="BF"/>
                <w:sz w:val="20"/>
                <w:szCs w:val="20"/>
              </w:rPr>
              <w:t/>
            </w:r>
          </w:p>
        </w:tc>
        <w:tc>
          <w:tcPr>
            <w:tcW w:w="3004" w:type="dxa"/>
          </w:tcPr>
          <w:p w14:paraId="77B9BF24" w14:textId="36088C0B" w:rsidR="009310C5" w:rsidRDefault="009310C5" w:rsidP="009310C5">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sz w:val="20"/>
                <w:szCs w:val="20"/>
              </w:rPr>
              <w:t xml:space="preserve">Yes, see clinical trials section</w:t>
            </w:r>
            <w:r w:rsidR="00306182">
              <w:rPr>
                <w:color w:val="404040" w:themeColor="text1" w:themeTint="BF"/>
                <w:sz w:val="20"/>
                <w:szCs w:val="20"/>
              </w:rPr>
              <w:t/>
            </w:r>
            <w:proofErr w:type="spellStart"/>
            <w:r>
              <w:rPr>
                <w:color w:val="404040" w:themeColor="text1" w:themeTint="BF"/>
                <w:sz w:val="20"/>
                <w:szCs w:val="20"/>
              </w:rPr>
              <w:t/>
            </w:r>
            <w:proofErr w:type="spellEnd"/>
            <w:r>
              <w:rPr>
                <w:color w:val="404040" w:themeColor="text1" w:themeTint="BF"/>
                <w:sz w:val="20"/>
                <w:szCs w:val="20"/>
              </w:rPr>
              <w:t/>
            </w:r>
          </w:p>
        </w:tc>
      </w:tr>
    </w:tbl>
    <w:p w14:paraId="4FAF8320" w14:textId="5DF3C10B" w:rsidR="009310C5" w:rsidRPr="00102DF1" w:rsidRDefault="0013688A" w:rsidP="00545CC8">
      <w:pPr>
        <w:rPr>
          <w:rFonts w:cstheme="minorHAnsi"/>
        </w:rPr>
      </w:pPr>
      <w:r>
        <w:rPr>
          <w:rFonts w:cstheme="minorHAnsi"/>
        </w:rPr>
        <w:t/>
      </w:r>
      <w:r w:rsidR="004A1856">
        <w:rPr>
          <w:rFonts w:cstheme="minorHAnsi"/>
        </w:rPr>
        <w:t/>
      </w:r>
      <w:r w:rsidR="004A1856" w:rsidRPr="004A1856">
        <w:rPr>
          <w:rFonts w:cstheme="minorHAnsi"/>
        </w:rPr>
        <w:t/>
      </w:r>
      <w:r w:rsidR="004640A6" w:rsidRPr="004640A6">
        <w:rPr>
          <w:rFonts w:cstheme="minorHAnsi"/>
        </w:rPr>
        <w:t/>
      </w:r>
      <w:r w:rsidR="004A1856" w:rsidRPr="004A1856">
        <w:rPr>
          <w:rFonts w:cstheme="minorHAnsi"/>
        </w:rPr>
        <w:t/>
      </w:r>
    </w:p>
    <w:p w14:paraId="1B46509F" w14:textId="77777777" w:rsidR="009310C5" w:rsidRPr="00D7205E" w:rsidRDefault="009310C5" w:rsidP="009310C5">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lastRenderedPageBreak/>
        <w:t xml:space="preserve"> </w:t>
      </w:r>
      <w:r w:rsidRPr="0029646D">
        <w:rPr>
          <w:rFonts w:cstheme="majorHAnsi"/>
          <w:b/>
          <w:smallCaps/>
          <w:color w:val="FFFFFF" w:themeColor="background1"/>
          <w:spacing w:val="10"/>
        </w:rPr>
        <w:t xml:space="preserve"> </w:t>
      </w:r>
      <w:r>
        <w:rPr>
          <w:rFonts w:cstheme="majorHAnsi"/>
          <w:b/>
          <w:smallCaps/>
          <w:color w:val="FFFFFF" w:themeColor="background1"/>
          <w:spacing w:val="10"/>
        </w:rPr>
        <w:t xml:space="preserve">Genomic Findings with Prognostic or Diagnostic Evidence</w:t>
      </w:r>
    </w:p>
    <w:tbl>
      <w:tblPr>
        <w:tblStyle w:val="ListTable6Colorful-Accent3"/>
        <w:tblpPr w:leftFromText="180" w:rightFromText="180" w:vertAnchor="text" w:tblpX="108" w:tblpY="1"/>
        <w:tblOverlap w:val="never"/>
        <w:tblW w:w="10776" w:type="dxa"/>
        <w:tblLayout w:type="fixed"/>
        <w:tblLook w:val="04A0" w:firstRow="1" w:lastRow="0" w:firstColumn="1" w:lastColumn="0" w:noHBand="0" w:noVBand="1"/>
      </w:tblPr>
      <w:tblGrid>
        <w:gridCol w:w="2064"/>
        <w:gridCol w:w="2824"/>
        <w:gridCol w:w="2738"/>
        <w:gridCol w:w="3150"/>
      </w:tblGrid>
      <w:tr w:rsidR="00A841D5" w14:paraId="56E30BB0" w14:textId="77777777" w:rsidTr="00A841D5">
        <w:trPr>
          <w:cnfStyle w:val="100000000000" w:firstRow="1" w:lastRow="0" w:firstColumn="0" w:lastColumn="0" w:oddVBand="0" w:evenVBand="0" w:oddHBand="0"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bottom"/>
          </w:tcPr>
          <w:p w14:paraId="52DE621E" w14:textId="77777777" w:rsidR="00A841D5" w:rsidRPr="00D7205E" w:rsidRDefault="00A841D5" w:rsidP="003D030E">
            <w:pPr>
              <w:rPr>
                <w:rFonts w:cstheme="minorHAnsi"/>
                <w:color w:val="0D0D0D" w:themeColor="text1" w:themeTint="F2"/>
                <w:sz w:val="20"/>
                <w:szCs w:val="20"/>
              </w:rPr>
            </w:pPr>
            <w:r w:rsidRPr="00D7205E">
              <w:rPr>
                <w:rFonts w:cstheme="minorHAnsi"/>
                <w:smallCaps/>
                <w:color w:val="0D0D0D" w:themeColor="text1" w:themeTint="F2"/>
              </w:rPr>
              <w:t xml:space="preserve">Gene</w:t>
            </w:r>
          </w:p>
        </w:tc>
        <w:tc>
          <w:tcPr>
            <w:tcW w:w="2824" w:type="dxa"/>
            <w:vAlign w:val="bottom"/>
          </w:tcPr>
          <w:p w14:paraId="5F197E3D" w14:textId="77777777" w:rsidR="00A841D5" w:rsidRPr="00D7205E" w:rsidRDefault="00A841D5" w:rsidP="003D030E">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Description</w:t>
            </w:r>
          </w:p>
        </w:tc>
        <w:tc>
          <w:tcPr>
            <w:tcW w:w="2738" w:type="dxa"/>
            <w:vAlign w:val="bottom"/>
          </w:tcPr>
          <w:p w14:paraId="700CCBB7" w14:textId="77777777" w:rsidR="00A841D5" w:rsidRPr="00D7205E" w:rsidRDefault="00A841D5" w:rsidP="003D030E">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Location</w:t>
            </w:r>
          </w:p>
        </w:tc>
        <w:tc>
          <w:tcPr>
            <w:tcW w:w="3150" w:type="dxa"/>
            <w:vAlign w:val="bottom"/>
          </w:tcPr>
          <w:p w14:paraId="35F0185A" w14:textId="77777777" w:rsidR="00A841D5" w:rsidRPr="00D7205E" w:rsidRDefault="00A841D5" w:rsidP="003D030E">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Evidence</w:t>
            </w:r>
          </w:p>
        </w:tc>
      </w:tr>
      <w:tr w:rsidR="00A841D5" w14:paraId="6BFF9AAB" w14:textId="77777777" w:rsidTr="00A841D5">
        <w:trPr>
          <w:cnfStyle w:val="000000100000" w:firstRow="0" w:lastRow="0" w:firstColumn="0" w:lastColumn="0" w:oddVBand="0" w:evenVBand="0" w:oddHBand="1" w:evenHBand="0" w:firstRowFirstColumn="0" w:firstRowLastColumn="0" w:lastRowFirstColumn="0" w:lastRowLastColumn="0"/>
          <w:cantSplit/>
          <w:trHeight w:val="533"/>
        </w:trPr>
        <w:tc>
          <w:tcPr>
            <w:cnfStyle w:val="001000000000" w:firstRow="0" w:lastRow="0" w:firstColumn="1" w:lastColumn="0" w:oddVBand="0" w:evenVBand="0" w:oddHBand="0" w:evenHBand="0" w:firstRowFirstColumn="0" w:firstRowLastColumn="0" w:lastRowFirstColumn="0" w:lastRowLastColumn="0"/>
            <w:tcW w:w="2064" w:type="dxa"/>
            <w:vAlign w:val="center"/>
          </w:tcPr>
          <w:p w14:paraId="6AA1E3EF" w14:textId="529E4A01" w:rsidR="00A841D5" w:rsidRPr="00D7205E" w:rsidRDefault="00C86DF4" w:rsidP="003D030E">
            <w:pPr>
              <w:rPr>
                <w:rFonts w:cstheme="minorHAnsi"/>
                <w:smallCaps/>
                <w:color w:val="0D0D0D" w:themeColor="text1" w:themeTint="F2"/>
              </w:rPr>
            </w:pPr>
            <w:r>
              <w:rPr>
                <w:b w:val="0"/>
                <w:i/>
                <w:color w:val="404040" w:themeColor="text1" w:themeTint="BF"/>
                <w:sz w:val="20"/>
                <w:szCs w:val="20"/>
              </w:rPr>
              <w:t/>
            </w:r>
            <w:r w:rsidRPr="00C86DF4">
              <w:rPr>
                <w:b w:val="0"/>
                <w:i/>
                <w:color w:val="404040" w:themeColor="text1" w:themeTint="BF"/>
                <w:sz w:val="20"/>
                <w:szCs w:val="20"/>
              </w:rPr>
              <w:t/>
            </w:r>
            <w:r>
              <w:rPr>
                <w:b w:val="0"/>
                <w:i/>
                <w:color w:val="404040" w:themeColor="text1" w:themeTint="BF"/>
                <w:sz w:val="20"/>
                <w:szCs w:val="20"/>
              </w:rPr>
              <w:t xml:space="preserve">EGFR</w:t>
            </w:r>
          </w:p>
        </w:tc>
        <w:tc>
          <w:tcPr>
            <w:tcW w:w="2824" w:type="dxa"/>
            <w:vAlign w:val="center"/>
          </w:tcPr>
          <w:p w14:paraId="514936D7" w14:textId="28DBDC26" w:rsidR="00A841D5" w:rsidRPr="00D7205E" w:rsidRDefault="00C86DF4" w:rsidP="003D030E">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color w:val="404040" w:themeColor="text1" w:themeTint="BF"/>
                <w:sz w:val="20"/>
                <w:szCs w:val="20"/>
              </w:rPr>
              <w:t xml:space="preserve">Thr790Met</w:t>
            </w:r>
          </w:p>
        </w:tc>
        <w:tc>
          <w:tcPr>
            <w:tcW w:w="2738" w:type="dxa"/>
            <w:vAlign w:val="center"/>
          </w:tcPr>
          <w:p w14:paraId="00C9BE7C" w14:textId="18D0A38D" w:rsidR="00A841D5" w:rsidRPr="00D7205E" w:rsidRDefault="00C86DF4" w:rsidP="003D030E">
            <w:pPr>
              <w:cnfStyle w:val="000000100000" w:firstRow="0" w:lastRow="0" w:firstColumn="0" w:lastColumn="0" w:oddVBand="0" w:evenVBand="0" w:oddHBand="1" w:evenHBand="0" w:firstRowFirstColumn="0" w:firstRowLastColumn="0" w:lastRowFirstColumn="0" w:lastRowLastColumn="0"/>
              <w:rPr>
                <w:rFonts w:cstheme="minorHAnsi"/>
                <w:smallCaps/>
                <w:color w:val="0D0D0D" w:themeColor="text1" w:themeTint="F2"/>
              </w:rPr>
            </w:pPr>
            <w:r>
              <w:rPr>
                <w:color w:val="404040" w:themeColor="text1" w:themeTint="BF"/>
                <w:sz w:val="20"/>
                <w:szCs w:val="20"/>
              </w:rPr>
              <w:t xml:space="preserve">Exon 20</w:t>
            </w:r>
          </w:p>
        </w:tc>
        <w:tc>
          <w:tcPr>
            <w:tcW w:w="3150" w:type="dxa"/>
            <w:vAlign w:val="center"/>
          </w:tcPr>
          <w:p w14:paraId="569D4F7F" w14:textId="76A1B75B" w:rsidR="00A841D5" w:rsidRPr="00CE1323" w:rsidRDefault="00C86DF4" w:rsidP="003D030E">
            <w:pPr>
              <w:cnfStyle w:val="000000100000" w:firstRow="0" w:lastRow="0" w:firstColumn="0" w:lastColumn="0" w:oddVBand="0" w:evenVBand="0" w:oddHBand="1" w:evenHBand="0" w:firstRowFirstColumn="0" w:firstRowLastColumn="0" w:lastRowFirstColumn="0" w:lastRowLastColumn="0"/>
              <w:rPr>
                <w:rFonts w:cstheme="minorHAnsi"/>
                <w:smallCaps/>
                <w:color w:val="70AD47" w:themeColor="accent6"/>
              </w:rPr>
            </w:pPr>
            <w:r>
              <w:rPr>
                <w:sz w:val="20"/>
                <w:szCs w:val="20"/>
                <w:color w:val="FFC000"/>
              </w:rPr>
              <w:t xml:space="preserve">Prognostic Tier III</w:t>
            </w:r>
          </w:p>
        </w:tc>
      </w:tr>
    </w:tbl>
    <w:p w14:paraId="712E13E6" w14:textId="4B9C2D2D" w:rsidR="008E1095" w:rsidRDefault="004A1856" w:rsidP="000C602E">
      <w:pPr>
        <w:rPr>
          <w:color w:val="7F7F7F" w:themeColor="text1" w:themeTint="80"/>
          <w:sz w:val="20"/>
          <w:szCs w:val="20"/>
        </w:rPr>
      </w:pPr>
      <w:r>
        <w:rPr>
          <w:color w:val="7F7F7F" w:themeColor="text1" w:themeTint="80"/>
          <w:sz w:val="20"/>
          <w:szCs w:val="20"/>
        </w:rPr>
        <w:t/>
      </w:r>
      <w:r w:rsidR="00FB1D3C">
        <w:rPr>
          <w:color w:val="7F7F7F" w:themeColor="text1" w:themeTint="80"/>
          <w:sz w:val="20"/>
          <w:szCs w:val="20"/>
        </w:rPr>
        <w:t/>
      </w:r>
      <w:r w:rsidR="008E1095">
        <w:rPr>
          <w:color w:val="7F7F7F" w:themeColor="text1" w:themeTint="80"/>
          <w:sz w:val="20"/>
          <w:szCs w:val="20"/>
        </w:rPr>
        <w:t/>
      </w:r>
      <w:r w:rsidR="008E1095" w:rsidRPr="008E1095">
        <w:rPr>
          <w:color w:val="7F7F7F" w:themeColor="text1" w:themeTint="80"/>
          <w:sz w:val="20"/>
          <w:szCs w:val="20"/>
        </w:rPr>
        <w:t/>
      </w:r>
      <w:r w:rsidR="008E1095">
        <w:rPr>
          <w:color w:val="7F7F7F" w:themeColor="text1" w:themeTint="80"/>
          <w:sz w:val="20"/>
          <w:szCs w:val="20"/>
        </w:rPr>
        <w:t xml:space="preserve"> </w:t>
      </w:r>
    </w:p>
    <w:p w14:paraId="20C89911" w14:textId="451C9604" w:rsidR="008E1095" w:rsidRPr="00936A8A" w:rsidRDefault="008E1095" w:rsidP="008E1095">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Other Reported Biomarkers</w:t>
      </w:r>
    </w:p>
    <w:tbl>
      <w:tblPr>
        <w:tblStyle w:val="TableGrid"/>
        <w:tblW w:w="110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44" w:type="dxa"/>
          <w:left w:w="158" w:type="dxa"/>
          <w:bottom w:w="144" w:type="dxa"/>
          <w:right w:w="158" w:type="dxa"/>
        </w:tblCellMar>
        <w:tblLook w:val="04A0" w:firstRow="1" w:lastRow="0" w:firstColumn="1" w:lastColumn="0" w:noHBand="0" w:noVBand="1"/>
      </w:tblPr>
      <w:tblGrid>
        <w:gridCol w:w="5501"/>
        <w:gridCol w:w="5547"/>
      </w:tblGrid>
      <w:tr w:rsidR="008E1095" w:rsidRPr="009824DA" w14:paraId="3561FA6D" w14:textId="77777777" w:rsidTr="00882293">
        <w:trPr>
          <w:trHeight w:val="930"/>
          <w:tblHeader/>
        </w:trPr>
        <w:tc>
          <w:tcPr>
            <w:tcW w:w="5501" w:type="dxa"/>
          </w:tcPr>
          <w:tbl>
            <w:tblPr>
              <w:tblStyle w:val="ListTable6Colorful-Accent3"/>
              <w:tblpPr w:leftFromText="180" w:rightFromText="180" w:vertAnchor="text" w:tblpY="1"/>
              <w:tblW w:w="5177" w:type="dxa"/>
              <w:tblLayout w:type="fixed"/>
              <w:tblLook w:val="04A0" w:firstRow="1" w:lastRow="0" w:firstColumn="1" w:lastColumn="0" w:noHBand="0" w:noVBand="1"/>
            </w:tblPr>
            <w:tblGrid>
              <w:gridCol w:w="1398"/>
              <w:gridCol w:w="1957"/>
              <w:gridCol w:w="1822"/>
            </w:tblGrid>
            <w:tr w:rsidR="008E1095" w14:paraId="529564A2" w14:textId="77777777" w:rsidTr="00882293">
              <w:trPr>
                <w:cnfStyle w:val="100000000000" w:firstRow="1" w:lastRow="0" w:firstColumn="0" w:lastColumn="0" w:oddVBand="0" w:evenVBand="0" w:oddHBand="0"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1398" w:type="dxa"/>
                </w:tcPr>
                <w:p w14:paraId="4AA4E416" w14:textId="77777777" w:rsidR="008E1095" w:rsidRPr="002534FB" w:rsidRDefault="008E1095" w:rsidP="00882293">
                  <w:pPr>
                    <w:rPr>
                      <w:rFonts w:ascii="Calibri" w:hAnsi="Calibri" w:cs="Calibri"/>
                      <w:color w:val="auto"/>
                      <w:szCs w:val="18"/>
                    </w:rPr>
                  </w:pPr>
                  <w:r w:rsidRPr="00D7205E">
                    <w:rPr>
                      <w:rFonts w:cstheme="minorHAnsi"/>
                      <w:smallCaps/>
                      <w:color w:val="0D0D0D" w:themeColor="text1" w:themeTint="F2"/>
                    </w:rPr>
                    <w:t xml:space="preserve">Gene</w:t>
                  </w:r>
                </w:p>
              </w:tc>
              <w:tc>
                <w:tcPr>
                  <w:tcW w:w="1957" w:type="dxa"/>
                </w:tcPr>
                <w:p w14:paraId="32CF01B3" w14:textId="77777777" w:rsidR="008E1095" w:rsidRPr="002534FB" w:rsidRDefault="008E1095" w:rsidP="00882293">
                  <w:pPr>
                    <w:cnfStyle w:val="100000000000" w:firstRow="1" w:lastRow="0" w:firstColumn="0" w:lastColumn="0" w:oddVBand="0" w:evenVBand="0" w:oddHBand="0" w:evenHBand="0" w:firstRowFirstColumn="0" w:firstRowLastColumn="0" w:lastRowFirstColumn="0" w:lastRowLastColumn="0"/>
                    <w:rPr>
                      <w:rFonts w:ascii="Calibri" w:hAnsi="Calibri" w:cs="Calibri"/>
                      <w:color w:val="auto"/>
                      <w:szCs w:val="18"/>
                    </w:rPr>
                  </w:pPr>
                  <w:r w:rsidRPr="00D7205E">
                    <w:rPr>
                      <w:rFonts w:cstheme="minorHAnsi"/>
                      <w:smallCaps/>
                      <w:color w:val="0D0D0D" w:themeColor="text1" w:themeTint="F2"/>
                    </w:rPr>
                    <w:t xml:space="preserve">Type</w:t>
                  </w:r>
                </w:p>
              </w:tc>
              <w:tc>
                <w:tcPr>
                  <w:tcW w:w="1822" w:type="dxa"/>
                </w:tcPr>
                <w:p w14:paraId="4A810479" w14:textId="77777777" w:rsidR="008E1095" w:rsidRPr="002534FB" w:rsidRDefault="008E1095" w:rsidP="00882293">
                  <w:pPr>
                    <w:cnfStyle w:val="100000000000" w:firstRow="1" w:lastRow="0" w:firstColumn="0" w:lastColumn="0" w:oddVBand="0" w:evenVBand="0" w:oddHBand="0" w:evenHBand="0" w:firstRowFirstColumn="0" w:firstRowLastColumn="0" w:lastRowFirstColumn="0" w:lastRowLastColumn="0"/>
                    <w:rPr>
                      <w:rFonts w:ascii="Calibri" w:hAnsi="Calibri" w:cs="Calibri"/>
                      <w:szCs w:val="18"/>
                    </w:rPr>
                  </w:pPr>
                  <w:r w:rsidRPr="00D7205E">
                    <w:rPr>
                      <w:rFonts w:cstheme="minorHAnsi"/>
                      <w:smallCaps/>
                      <w:color w:val="0D0D0D" w:themeColor="text1" w:themeTint="F2"/>
                    </w:rPr>
                    <w:t xml:space="preserve">Description</w:t>
                  </w:r>
                </w:p>
              </w:tc>
            </w:tr>
            <w:tr w:rsidR="008E1095" w:rsidRPr="008D5EEC" w14:paraId="50324E44" w14:textId="77777777" w:rsidTr="00882293">
              <w:trPr>
                <w:cnfStyle w:val="000000100000" w:firstRow="0" w:lastRow="0" w:firstColumn="0" w:lastColumn="0" w:oddVBand="0" w:evenVBand="0" w:oddHBand="1" w:evenHBand="0" w:firstRowFirstColumn="0" w:firstRowLastColumn="0" w:lastRowFirstColumn="0" w:lastRowLastColumn="0"/>
                <w:trHeight w:val="182"/>
              </w:trPr>
              <w:tc>
                <w:tcPr>
                  <w:cnfStyle w:val="001000000000" w:firstRow="0" w:lastRow="0" w:firstColumn="1" w:lastColumn="0" w:oddVBand="0" w:evenVBand="0" w:oddHBand="0" w:evenHBand="0" w:firstRowFirstColumn="0" w:firstRowLastColumn="0" w:lastRowFirstColumn="0" w:lastRowLastColumn="0"/>
                  <w:tcW w:w="1398" w:type="dxa"/>
                </w:tcPr>
                <w:p w14:paraId="48426A0D" w14:textId="6732615C" w:rsidR="008E1095" w:rsidRPr="00196079" w:rsidRDefault="008E1095" w:rsidP="00882293">
                  <w:pPr>
                    <w:spacing w:line="276" w:lineRule="auto"/>
                    <w:rPr>
                      <w:rFonts w:asciiTheme="majorHAnsi" w:hAnsiTheme="majorHAnsi" w:cstheme="majorHAnsi"/>
                      <w:b w:val="0"/>
                      <w:i/>
                      <w:szCs w:val="18"/>
                    </w:rPr>
                  </w:pPr>
                  <w:r>
                    <w:rPr>
                      <w:b w:val="0"/>
                      <w:i/>
                      <w:color w:val="404040" w:themeColor="text1" w:themeTint="BF"/>
                      <w:sz w:val="20"/>
                      <w:szCs w:val="20"/>
                    </w:rPr>
                    <w:t/>
                  </w:r>
                  <w:r w:rsidR="006B6361">
                    <w:rPr>
                      <w:b w:val="0"/>
                      <w:i/>
                      <w:color w:val="404040" w:themeColor="text1" w:themeTint="BF"/>
                      <w:sz w:val="20"/>
                      <w:szCs w:val="20"/>
                    </w:rPr>
                    <w:t/>
                  </w:r>
                  <w:r>
                    <w:rPr>
                      <w:b w:val="0"/>
                      <w:i/>
                      <w:color w:val="404040" w:themeColor="text1" w:themeTint="BF"/>
                      <w:sz w:val="20"/>
                      <w:szCs w:val="20"/>
                    </w:rPr>
                    <w:t/>
                  </w:r>
                  <w:r w:rsidR="006B6361" w:rsidRPr="006B6361">
                    <w:rPr>
                      <w:b w:val="0"/>
                      <w:i/>
                      <w:color w:val="404040" w:themeColor="text1" w:themeTint="BF"/>
                      <w:sz w:val="20"/>
                      <w:szCs w:val="20"/>
                    </w:rPr>
                    <w:t/>
                  </w:r>
                  <w:r w:rsidR="006B6361">
                    <w:rPr>
                      <w:b w:val="0"/>
                      <w:i/>
                      <w:color w:val="404040" w:themeColor="text1" w:themeTint="BF"/>
                      <w:sz w:val="20"/>
                      <w:szCs w:val="20"/>
                    </w:rPr>
                    <w:t/>
                  </w:r>
                  <w:r>
                    <w:rPr>
                      <w:b w:val="0"/>
                      <w:i/>
                      <w:color w:val="404040" w:themeColor="text1" w:themeTint="BF"/>
                      <w:sz w:val="20"/>
                      <w:szCs w:val="20"/>
                    </w:rPr>
                    <w:t xml:space="preserve">ALK</w:t>
                  </w:r>
                </w:p>
              </w:tc>
              <w:tc>
                <w:tcPr>
                  <w:tcW w:w="1957" w:type="dxa"/>
                </w:tcPr>
                <w:p w14:paraId="36EB4E56" w14:textId="77777777" w:rsidR="008E1095" w:rsidRPr="00196079" w:rsidRDefault="008E1095"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Gene mutation</w:t>
                  </w:r>
                </w:p>
              </w:tc>
              <w:tc>
                <w:tcPr>
                  <w:tcW w:w="1822" w:type="dxa"/>
                </w:tcPr>
                <w:p w14:paraId="7C291C5E" w14:textId="77777777" w:rsidR="008E1095" w:rsidRPr="00B23B97" w:rsidRDefault="008E1095"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Negative Finding</w:t>
                  </w:r>
                </w:p>
              </w:tc>
            </w:tr>
          </w:tbl>
          <w:p w14:paraId="34F153F5" w14:textId="77777777" w:rsidR="008E1095" w:rsidRPr="009824DA" w:rsidRDefault="008E1095" w:rsidP="00882293">
            <w:pPr>
              <w:rPr>
                <w:rFonts w:asciiTheme="majorHAnsi" w:hAnsiTheme="majorHAnsi" w:cstheme="majorHAnsi"/>
                <w:color w:val="7F7F7F" w:themeColor="text1" w:themeTint="80"/>
                <w:sz w:val="18"/>
                <w:szCs w:val="18"/>
              </w:rPr>
            </w:pPr>
          </w:p>
        </w:tc>
        <w:tc>
          <w:tcPr>
            <w:tcW w:w="5547" w:type="dxa"/>
          </w:tcPr>
          <w:tbl>
            <w:tblPr>
              <w:tblStyle w:val="ListTable6Colorful-Accent3"/>
              <w:tblpPr w:leftFromText="180" w:rightFromText="180" w:vertAnchor="text" w:tblpY="1"/>
              <w:tblW w:w="5400" w:type="dxa"/>
              <w:tblLayout w:type="fixed"/>
              <w:tblLook w:val="04A0" w:firstRow="1" w:lastRow="0" w:firstColumn="1" w:lastColumn="0" w:noHBand="0" w:noVBand="1"/>
            </w:tblPr>
            <w:tblGrid>
              <w:gridCol w:w="1506"/>
              <w:gridCol w:w="2038"/>
              <w:gridCol w:w="1856"/>
            </w:tblGrid>
            <w:tr w:rsidR="008E1095" w14:paraId="7C8EB72F" w14:textId="77777777" w:rsidTr="00882293">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506" w:type="dxa"/>
                </w:tcPr>
                <w:p w14:paraId="292E9BE5" w14:textId="77777777" w:rsidR="008E1095" w:rsidRPr="003F47F5" w:rsidRDefault="008E1095" w:rsidP="00882293">
                  <w:pPr>
                    <w:rPr>
                      <w:rFonts w:ascii="Calibri" w:hAnsi="Calibri"/>
                      <w:color w:val="auto"/>
                      <w:szCs w:val="18"/>
                    </w:rPr>
                  </w:pPr>
                  <w:r w:rsidRPr="00D7205E">
                    <w:rPr>
                      <w:rFonts w:cstheme="minorHAnsi"/>
                      <w:smallCaps/>
                      <w:color w:val="0D0D0D" w:themeColor="text1" w:themeTint="F2"/>
                    </w:rPr>
                    <w:t xml:space="preserve">Gene</w:t>
                  </w:r>
                </w:p>
              </w:tc>
              <w:tc>
                <w:tcPr>
                  <w:tcW w:w="2038" w:type="dxa"/>
                </w:tcPr>
                <w:p w14:paraId="7C1F7B60" w14:textId="77777777" w:rsidR="008E1095" w:rsidRPr="003F47F5" w:rsidRDefault="008E1095" w:rsidP="00882293">
                  <w:pPr>
                    <w:cnfStyle w:val="100000000000" w:firstRow="1" w:lastRow="0" w:firstColumn="0" w:lastColumn="0" w:oddVBand="0" w:evenVBand="0" w:oddHBand="0" w:evenHBand="0" w:firstRowFirstColumn="0" w:firstRowLastColumn="0" w:lastRowFirstColumn="0" w:lastRowLastColumn="0"/>
                    <w:rPr>
                      <w:rFonts w:ascii="Calibri" w:hAnsi="Calibri"/>
                      <w:color w:val="auto"/>
                      <w:szCs w:val="18"/>
                    </w:rPr>
                  </w:pPr>
                  <w:r w:rsidRPr="00D7205E">
                    <w:rPr>
                      <w:rFonts w:cstheme="minorHAnsi"/>
                      <w:smallCaps/>
                      <w:color w:val="0D0D0D" w:themeColor="text1" w:themeTint="F2"/>
                    </w:rPr>
                    <w:t xml:space="preserve">Type</w:t>
                  </w:r>
                </w:p>
              </w:tc>
              <w:tc>
                <w:tcPr>
                  <w:tcW w:w="1856" w:type="dxa"/>
                </w:tcPr>
                <w:p w14:paraId="5ECD1440" w14:textId="77777777" w:rsidR="008E1095" w:rsidRPr="00D7205E" w:rsidRDefault="008E1095" w:rsidP="00882293">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sidRPr="00D7205E">
                    <w:rPr>
                      <w:rFonts w:cstheme="minorHAnsi"/>
                      <w:smallCaps/>
                      <w:color w:val="0D0D0D" w:themeColor="text1" w:themeTint="F2"/>
                    </w:rPr>
                    <w:t xml:space="preserve">Description</w:t>
                  </w:r>
                </w:p>
              </w:tc>
            </w:tr>
            <w:tr w:rsidR="008E1095" w:rsidRPr="008D5EEC" w14:paraId="2836C997" w14:textId="77777777" w:rsidTr="00882293">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506" w:type="dxa"/>
                </w:tcPr>
                <w:p w14:paraId="0A168169" w14:textId="1388ADE2" w:rsidR="008E1095" w:rsidRPr="00196079" w:rsidRDefault="008E1095" w:rsidP="00882293">
                  <w:pPr>
                    <w:spacing w:line="276" w:lineRule="auto"/>
                    <w:rPr>
                      <w:rFonts w:asciiTheme="majorHAnsi" w:hAnsiTheme="majorHAnsi" w:cstheme="majorHAnsi"/>
                      <w:b w:val="0"/>
                      <w:i/>
                      <w:szCs w:val="18"/>
                    </w:rPr>
                  </w:pPr>
                  <w:r>
                    <w:rPr>
                      <w:b w:val="0"/>
                      <w:i/>
                      <w:color w:val="404040" w:themeColor="text1" w:themeTint="BF"/>
                      <w:sz w:val="20"/>
                      <w:szCs w:val="20"/>
                    </w:rPr>
                    <w:t/>
                  </w:r>
                  <w:r w:rsidR="006B6361">
                    <w:rPr>
                      <w:b w:val="0"/>
                      <w:i/>
                      <w:color w:val="404040" w:themeColor="text1" w:themeTint="BF"/>
                      <w:sz w:val="20"/>
                      <w:szCs w:val="20"/>
                    </w:rPr>
                    <w:t/>
                  </w:r>
                  <w:r>
                    <w:rPr>
                      <w:b w:val="0"/>
                      <w:i/>
                      <w:color w:val="404040" w:themeColor="text1" w:themeTint="BF"/>
                      <w:sz w:val="20"/>
                      <w:szCs w:val="20"/>
                    </w:rPr>
                    <w:t/>
                  </w:r>
                  <w:r w:rsidR="006B6361" w:rsidRPr="006B6361">
                    <w:rPr>
                      <w:b w:val="0"/>
                      <w:i/>
                      <w:color w:val="404040" w:themeColor="text1" w:themeTint="BF"/>
                      <w:sz w:val="20"/>
                      <w:szCs w:val="20"/>
                    </w:rPr>
                    <w:t/>
                  </w:r>
                  <w:r w:rsidR="006B6361">
                    <w:rPr>
                      <w:b w:val="0"/>
                      <w:i/>
                      <w:color w:val="404040" w:themeColor="text1" w:themeTint="BF"/>
                      <w:sz w:val="20"/>
                      <w:szCs w:val="20"/>
                    </w:rPr>
                    <w:t/>
                  </w:r>
                  <w:r>
                    <w:rPr>
                      <w:b w:val="0"/>
                      <w:i/>
                      <w:color w:val="404040" w:themeColor="text1" w:themeTint="BF"/>
                      <w:sz w:val="20"/>
                      <w:szCs w:val="20"/>
                    </w:rPr>
                    <w:t xml:space="preserve">ROS1</w:t>
                  </w:r>
                </w:p>
              </w:tc>
              <w:tc>
                <w:tcPr>
                  <w:tcW w:w="2038" w:type="dxa"/>
                </w:tcPr>
                <w:p w14:paraId="1C6F4C06" w14:textId="77777777" w:rsidR="008E1095" w:rsidRPr="00196079" w:rsidRDefault="008E1095"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404040" w:themeColor="text1" w:themeTint="BF"/>
                      <w:sz w:val="20"/>
                      <w:szCs w:val="20"/>
                    </w:rPr>
                    <w:t xml:space="preserve">Gene mutation</w:t>
                  </w:r>
                </w:p>
              </w:tc>
              <w:tc>
                <w:tcPr>
                  <w:tcW w:w="1856" w:type="dxa"/>
                </w:tcPr>
                <w:p w14:paraId="74C44277" w14:textId="77777777" w:rsidR="008E1095" w:rsidRPr="00B23B97" w:rsidRDefault="008E1095" w:rsidP="00882293">
                  <w:pPr>
                    <w:spacing w:line="276"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18"/>
                    </w:rPr>
                  </w:pPr>
                  <w:r>
                    <w:rPr>
                      <w:color w:val="auto"/>
                      <w:sz w:val="20"/>
                      <w:szCs w:val="20"/>
                    </w:rPr>
                    <w:t xml:space="preserve">Negative Finding</w:t>
                  </w:r>
                </w:p>
              </w:tc>
            </w:tr>
          </w:tbl>
          <w:p w14:paraId="58E07128" w14:textId="77777777" w:rsidR="008E1095" w:rsidRPr="009824DA" w:rsidRDefault="008E1095" w:rsidP="00882293">
            <w:pPr>
              <w:rPr>
                <w:rFonts w:asciiTheme="majorHAnsi" w:hAnsiTheme="majorHAnsi" w:cstheme="majorHAnsi"/>
                <w:color w:val="7F7F7F" w:themeColor="text1" w:themeTint="80"/>
                <w:sz w:val="18"/>
                <w:szCs w:val="18"/>
              </w:rPr>
            </w:pPr>
          </w:p>
        </w:tc>
      </w:tr>
    </w:tbl>
    <w:p w14:paraId="1D38FAA5" w14:textId="227630F2" w:rsidR="000C602E" w:rsidRDefault="008E1095" w:rsidP="000C602E">
      <w:pPr>
        <w:rPr>
          <w:color w:val="7F7F7F" w:themeColor="text1" w:themeTint="80"/>
          <w:sz w:val="20"/>
          <w:szCs w:val="20"/>
        </w:rPr>
      </w:pPr>
      <w:r>
        <w:rPr>
          <w:color w:val="7F7F7F" w:themeColor="text1" w:themeTint="80"/>
          <w:sz w:val="20"/>
          <w:szCs w:val="20"/>
        </w:rPr>
        <w:t/>
      </w:r>
      <w:r w:rsidR="00EB3D00">
        <w:rPr>
          <w:color w:val="7F7F7F" w:themeColor="text1" w:themeTint="80"/>
          <w:sz w:val="20"/>
          <w:szCs w:val="20"/>
        </w:rPr>
        <w:t/>
      </w:r>
      <w:r w:rsidR="007453B5" w:rsidRPr="007453B5">
        <w:rPr>
          <w:rFonts w:cs="Calibri Light (Headings)"/>
          <w:b/>
          <w:smallCaps/>
          <w:color w:val="0D0D0D" w:themeColor="text1" w:themeTint="F2"/>
          <w:spacing w:val="10"/>
          <w:sz w:val="28"/>
        </w:rPr>
        <w:t/>
      </w:r>
    </w:p>
    <w:p w14:paraId="69A75A65" w14:textId="2458DEE4" w:rsidR="00EA680B" w:rsidRPr="00D25757" w:rsidRDefault="00813D23" w:rsidP="00EA680B">
      <w:pPr>
        <w:spacing w:before="200" w:after="0"/>
        <w:rPr>
          <w:rFonts w:cs="Calibri Light (Headings)"/>
          <w:b/>
          <w:smallCaps/>
          <w:color w:val="0D0D0D" w:themeColor="text1" w:themeTint="F2"/>
          <w:spacing w:val="10"/>
          <w:sz w:val="28"/>
        </w:rPr>
      </w:pPr>
      <w:r>
        <w:rPr>
          <w:rFonts w:cs="Calibri Light (Headings)"/>
          <w:b/>
          <w:smallCaps/>
          <w:color w:val="0D0D0D" w:themeColor="text1" w:themeTint="F2"/>
          <w:spacing w:val="10"/>
          <w:sz w:val="28"/>
        </w:rPr>
        <w:t xml:space="preserve">Genomic Finding Details</w:t>
      </w:r>
      <w:r w:rsidR="007D725F">
        <w:rPr>
          <w:rFonts w:cs="Calibri Light (Headings)"/>
          <w:b/>
          <w:smallCaps/>
          <w:color w:val="0D0D0D" w:themeColor="text1" w:themeTint="F2"/>
          <w:spacing w:val="10"/>
          <w:sz w:val="28"/>
        </w:rPr>
        <w:tab/>
      </w:r>
      <w:r w:rsidR="007D725F">
        <w:rPr>
          <w:rFonts w:cs="Calibri Light (Headings)"/>
          <w:b/>
          <w:smallCaps/>
          <w:color w:val="0D0D0D" w:themeColor="text1" w:themeTint="F2"/>
          <w:spacing w:val="10"/>
          <w:sz w:val="28"/>
        </w:rPr>
        <w:tab/>
      </w:r>
      <w:r w:rsidR="007D725F">
        <w:rPr>
          <w:rFonts w:cs="Calibri Light (Headings)"/>
          <w:b/>
          <w:smallCaps/>
          <w:color w:val="0D0D0D" w:themeColor="text1" w:themeTint="F2"/>
          <w:spacing w:val="10"/>
          <w:sz w:val="28"/>
        </w:rPr>
        <w:tab/>
      </w:r>
    </w:p>
    <w:tbl>
      <w:tblPr>
        <w:tblStyle w:val="TableGrid"/>
        <w:tblW w:w="11030" w:type="dxa"/>
        <w:tblBorders>
          <w:left w:val="none" w:sz="0" w:space="0" w:color="auto"/>
          <w:bottom w:val="none" w:sz="0" w:space="0" w:color="auto"/>
          <w:right w:val="none" w:sz="0" w:space="0" w:color="auto"/>
          <w:insideH w:val="none" w:sz="0" w:space="0" w:color="auto"/>
          <w:insideV w:val="none" w:sz="0" w:space="0" w:color="auto"/>
        </w:tblBorders>
        <w:tblCellMar>
          <w:left w:w="115" w:type="dxa"/>
          <w:bottom w:w="115" w:type="dxa"/>
          <w:right w:w="115" w:type="dxa"/>
        </w:tblCellMar>
        <w:tblLook w:val="06A0" w:firstRow="1" w:lastRow="0" w:firstColumn="1" w:lastColumn="0" w:noHBand="1" w:noVBand="1"/>
      </w:tblPr>
      <w:tblGrid>
        <w:gridCol w:w="3797"/>
        <w:gridCol w:w="7233"/>
      </w:tblGrid>
      <w:tr w:rsidR="00974465" w14:paraId="2E2EA49F" w14:textId="77777777" w:rsidTr="00871629">
        <w:trPr>
          <w:trHeight w:val="2403"/>
        </w:trPr>
        <w:tc>
          <w:tcPr>
            <w:tcW w:w="3797" w:type="dxa"/>
            <w:tcBorders>
              <w:top w:val="single" w:sz="4" w:space="0" w:color="auto"/>
              <w:bottom w:val="single" w:sz="4" w:space="0" w:color="auto"/>
            </w:tcBorders>
          </w:tcPr>
          <w:p w14:paraId="6351F0D4" w14:textId="77777777" w:rsidR="00557A36" w:rsidRDefault="00557A36" w:rsidP="00AD7764">
            <w:pPr>
              <w:widowControl w:val="0"/>
              <w:rPr>
                <w:color w:val="7F7F7F" w:themeColor="text1" w:themeTint="80"/>
                <w:sz w:val="20"/>
                <w:szCs w:val="20"/>
              </w:rPr>
            </w:pPr>
          </w:p>
          <w:p w14:paraId="6B5F6730" w14:textId="51BD3974" w:rsidR="00AD7764" w:rsidRPr="00321B21" w:rsidRDefault="00B7574D" w:rsidP="00AD7764">
            <w:pPr>
              <w:widowControl w:val="0"/>
              <w:rPr>
                <w:color w:val="7F7F7F" w:themeColor="text1" w:themeTint="80"/>
                <w:sz w:val="20"/>
                <w:szCs w:val="20"/>
              </w:rPr>
            </w:pPr>
            <w:r>
              <w:rPr>
                <w:color w:val="7F7F7F" w:themeColor="text1" w:themeTint="80"/>
                <w:sz w:val="20"/>
                <w:szCs w:val="20"/>
              </w:rPr>
              <w:t/>
            </w:r>
            <w:r w:rsidR="0093769D" w:rsidRPr="005C562F">
              <w:rPr>
                <w:color w:val="7F7F7F" w:themeColor="text1" w:themeTint="80"/>
                <w:sz w:val="20"/>
                <w:szCs w:val="20"/>
              </w:rPr>
              <w:t xml:space="preserve">Sensitivity to Drugs</w:t>
            </w:r>
            <w:r w:rsidR="00AD7764" w:rsidRPr="00321B21">
              <w:rPr>
                <w:color w:val="7F7F7F" w:themeColor="text1" w:themeTint="80"/>
                <w:sz w:val="20"/>
                <w:szCs w:val="20"/>
              </w:rPr>
              <w:t xml:space="preserve">:</w:t>
            </w:r>
          </w:p>
          <w:p w14:paraId="1CC931F5" w14:textId="707B25AB" w:rsidR="00557A36" w:rsidRDefault="00AD7764" w:rsidP="00354A16">
            <w:pPr>
              <w:widowControl w:val="0"/>
              <w:rPr>
                <w:color w:val="000000" w:themeColor="text1"/>
                <w:sz w:val="24"/>
                <w:szCs w:val="24"/>
              </w:rPr>
            </w:pPr>
            <w:r w:rsidRPr="00321B21">
              <w:rPr>
                <w:color w:val="000000" w:themeColor="text1"/>
                <w:sz w:val="24"/>
                <w:szCs w:val="24"/>
              </w:rPr>
              <w:t/>
            </w:r>
            <w:r>
              <w:rPr>
                <w:color w:val="000000" w:themeColor="text1"/>
                <w:sz w:val="24"/>
                <w:szCs w:val="24"/>
              </w:rPr>
              <w:t/>
            </w:r>
            <w:r w:rsidR="00695D10">
              <w:rPr>
                <w:color w:val="000000" w:themeColor="text1"/>
                <w:sz w:val="24"/>
                <w:szCs w:val="24"/>
              </w:rPr>
              <w:t/>
            </w:r>
            <w:r w:rsidR="00825595" w:rsidRPr="00713154">
              <w:rPr>
                <w:color w:val="000000" w:themeColor="text1"/>
                <w:sz w:val="2"/>
                <w:szCs w:val="2"/>
              </w:rPr>
              <w:t xml:space="preserve"> </w:t>
            </w:r>
            <w:r>
              <w:rPr>
                <w:sz w:val="24"/>
                <w:szCs w:val="24"/>
                <w:color w:val="70AD47"/>
              </w:rPr>
              <w:t xml:space="preserve">Tier I - Level A</w:t>
            </w:r>
            <w:proofErr w:type="spellStart"/>
            <w:r w:rsidR="00695D10">
              <w:rPr>
                <w:color w:val="000000" w:themeColor="text1"/>
                <w:sz w:val="24"/>
                <w:szCs w:val="24"/>
              </w:rPr>
              <w:t/>
            </w:r>
            <w:proofErr w:type="spellEnd"/>
            <w:r w:rsidR="00695D10">
              <w:rPr>
                <w:color w:val="000000" w:themeColor="text1"/>
                <w:sz w:val="24"/>
                <w:szCs w:val="24"/>
              </w:rPr>
              <w:t/>
            </w:r>
          </w:p>
          <w:p w14:paraId="0446979C" w14:textId="77777777" w:rsidR="00557A36" w:rsidRDefault="00557A36" w:rsidP="00354A16">
            <w:pPr>
              <w:widowControl w:val="0"/>
              <w:rPr>
                <w:color w:val="000000" w:themeColor="text1"/>
                <w:sz w:val="24"/>
                <w:szCs w:val="24"/>
              </w:rPr>
            </w:pPr>
          </w:p>
          <w:p w14:paraId="22D7EE3F" w14:textId="6E1DCFF9" w:rsidR="0093769D" w:rsidRPr="00557A36" w:rsidRDefault="00557A36" w:rsidP="00354A16">
            <w:pPr>
              <w:widowControl w:val="0"/>
              <w:rPr>
                <w:color w:val="7F7F7F" w:themeColor="text1" w:themeTint="80"/>
                <w:sz w:val="20"/>
                <w:szCs w:val="20"/>
              </w:rPr>
            </w:pPr>
            <w:r>
              <w:rPr>
                <w:sz w:val="24"/>
                <w:szCs w:val="24"/>
              </w:rPr>
              <w:t xml:space="preserve">Afatinib</w:t>
            </w:r>
            <w:r>
              <w:br/>
            </w:r>
            <w:r>
              <w:rPr>
                <w:sz w:val="24"/>
                <w:szCs w:val="24"/>
              </w:rPr>
              <w:t xml:space="preserve">Atezolizumab</w:t>
            </w:r>
            <w:r>
              <w:br/>
            </w:r>
            <w:r>
              <w:rPr>
                <w:sz w:val="24"/>
                <w:szCs w:val="24"/>
              </w:rPr>
              <w:t xml:space="preserve">Bevacizumab</w:t>
            </w:r>
            <w:r>
              <w:br/>
            </w:r>
            <w:r>
              <w:rPr>
                <w:sz w:val="24"/>
                <w:szCs w:val="24"/>
              </w:rPr>
              <w:t xml:space="preserve">Durvalumab</w:t>
            </w:r>
            <w:r>
              <w:br/>
            </w:r>
            <w:r>
              <w:rPr>
                <w:sz w:val="24"/>
                <w:szCs w:val="24"/>
              </w:rPr>
              <w:t xml:space="preserve">Necitumumab</w:t>
            </w:r>
            <w:r>
              <w:br/>
            </w:r>
            <w:r>
              <w:rPr>
                <w:sz w:val="24"/>
                <w:szCs w:val="24"/>
              </w:rPr>
              <w:t xml:space="preserve">Nivolumab</w:t>
            </w:r>
            <w:r>
              <w:br/>
            </w:r>
            <w:r>
              <w:rPr>
                <w:sz w:val="24"/>
                <w:szCs w:val="24"/>
              </w:rPr>
              <w:t xml:space="preserve">Ramucirumab</w:t>
            </w:r>
            <w:r w:rsidR="00C636F1">
              <w:rPr>
                <w:color w:val="000000" w:themeColor="text1"/>
                <w:sz w:val="24"/>
                <w:szCs w:val="24"/>
              </w:rPr>
              <w:t/>
            </w:r>
            <w:proofErr w:type="spellStart"/>
            <w:r>
              <w:rPr>
                <w:color w:val="000000" w:themeColor="text1"/>
                <w:sz w:val="24"/>
                <w:szCs w:val="24"/>
              </w:rPr>
              <w:t/>
            </w:r>
            <w:r w:rsidR="0027624C">
              <w:rPr>
                <w:color w:val="000000" w:themeColor="text1"/>
                <w:sz w:val="24"/>
                <w:szCs w:val="24"/>
              </w:rPr>
              <w:t/>
            </w:r>
            <w:proofErr w:type="spellEnd"/>
            <w:r>
              <w:rPr>
                <w:color w:val="000000" w:themeColor="text1"/>
                <w:sz w:val="24"/>
                <w:szCs w:val="24"/>
              </w:rPr>
              <w:t/>
            </w:r>
          </w:p>
          <w:p w14:paraId="1A341CB9" w14:textId="7D795F8C" w:rsidR="00695D10" w:rsidRPr="0093769D" w:rsidRDefault="00695D10" w:rsidP="00354A16">
            <w:pPr>
              <w:widowControl w:val="0"/>
              <w:rPr>
                <w:color w:val="000000" w:themeColor="text1"/>
                <w:sz w:val="24"/>
                <w:szCs w:val="24"/>
              </w:rPr>
            </w:pPr>
            <w:r>
              <w:rPr>
                <w:color w:val="000000" w:themeColor="text1"/>
                <w:sz w:val="24"/>
                <w:szCs w:val="24"/>
              </w:rPr>
              <w:t/>
            </w:r>
            <w:r>
              <w:rPr>
                <w:color w:val="000000" w:themeColor="text1"/>
                <w:sz w:val="24"/>
                <w:szCs w:val="24"/>
              </w:rPr>
              <w:t/>
            </w:r>
            <w:r w:rsidR="00695D10">
              <w:rPr>
                <w:color w:val="000000" w:themeColor="text1"/>
                <w:sz w:val="24"/>
                <w:szCs w:val="24"/>
              </w:rPr>
              <w:t/>
            </w:r>
            <w:r w:rsidR="00825595" w:rsidRPr="00713154">
              <w:rPr>
                <w:color w:val="000000" w:themeColor="text1"/>
                <w:sz w:val="2"/>
                <w:szCs w:val="2"/>
              </w:rPr>
              <w:t xml:space="preserve"> </w:t>
            </w:r>
            <w:r>
              <w:rPr>
                <w:sz w:val="24"/>
                <w:szCs w:val="24"/>
                <w:color w:val="70AD47"/>
              </w:rPr>
              <w:t xml:space="preserve">Tier I - Level A</w:t>
            </w:r>
            <w:proofErr w:type="spellStart"/>
            <w:r w:rsidR="00695D10">
              <w:rPr>
                <w:color w:val="000000" w:themeColor="text1"/>
                <w:sz w:val="24"/>
                <w:szCs w:val="24"/>
              </w:rPr>
              <w:t/>
            </w:r>
            <w:proofErr w:type="spellEnd"/>
            <w:r w:rsidR="00695D10">
              <w:rPr>
                <w:color w:val="000000" w:themeColor="text1"/>
                <w:sz w:val="24"/>
                <w:szCs w:val="24"/>
              </w:rPr>
              <w:t/>
            </w:r>
          </w:p>
          <w:p w14:paraId="0446979C" w14:textId="77777777" w:rsidR="00557A36" w:rsidRDefault="00557A36" w:rsidP="00354A16">
            <w:pPr>
              <w:widowControl w:val="0"/>
              <w:rPr>
                <w:color w:val="000000" w:themeColor="text1"/>
                <w:sz w:val="24"/>
                <w:szCs w:val="24"/>
              </w:rPr>
            </w:pPr>
          </w:p>
          <w:p w14:paraId="22D7EE3F" w14:textId="6E1DCFF9" w:rsidR="0093769D" w:rsidRPr="00557A36" w:rsidRDefault="00557A36" w:rsidP="00354A16">
            <w:pPr>
              <w:widowControl w:val="0"/>
              <w:rPr>
                <w:color w:val="7F7F7F" w:themeColor="text1" w:themeTint="80"/>
                <w:sz w:val="20"/>
                <w:szCs w:val="20"/>
              </w:rPr>
            </w:pPr>
            <w:r>
              <w:rPr>
                <w:sz w:val="24"/>
                <w:szCs w:val="24"/>
              </w:rPr>
              <w:t xml:space="preserve">Atezolizumab</w:t>
            </w:r>
            <w:r>
              <w:br/>
            </w:r>
            <w:r>
              <w:rPr>
                <w:sz w:val="24"/>
                <w:szCs w:val="24"/>
              </w:rPr>
              <w:t xml:space="preserve">Durvalumab</w:t>
            </w:r>
            <w:r>
              <w:br/>
            </w:r>
            <w:r>
              <w:rPr>
                <w:sz w:val="24"/>
                <w:szCs w:val="24"/>
              </w:rPr>
              <w:t xml:space="preserve">Nivolumab</w:t>
            </w:r>
            <w:r w:rsidR="00C636F1">
              <w:rPr>
                <w:color w:val="000000" w:themeColor="text1"/>
                <w:sz w:val="24"/>
                <w:szCs w:val="24"/>
              </w:rPr>
              <w:t/>
            </w:r>
            <w:proofErr w:type="spellStart"/>
            <w:r>
              <w:rPr>
                <w:color w:val="000000" w:themeColor="text1"/>
                <w:sz w:val="24"/>
                <w:szCs w:val="24"/>
              </w:rPr>
              <w:t/>
            </w:r>
            <w:r w:rsidR="0027624C">
              <w:rPr>
                <w:color w:val="000000" w:themeColor="text1"/>
                <w:sz w:val="24"/>
                <w:szCs w:val="24"/>
              </w:rPr>
              <w:t/>
            </w:r>
            <w:proofErr w:type="spellEnd"/>
            <w:r>
              <w:rPr>
                <w:color w:val="000000" w:themeColor="text1"/>
                <w:sz w:val="24"/>
                <w:szCs w:val="24"/>
              </w:rPr>
              <w:t/>
            </w:r>
          </w:p>
          <w:p w14:paraId="1A341CB9" w14:textId="7D795F8C" w:rsidR="00695D10" w:rsidRPr="0093769D" w:rsidRDefault="00695D10" w:rsidP="00354A16">
            <w:pPr>
              <w:widowControl w:val="0"/>
              <w:rPr>
                <w:color w:val="000000" w:themeColor="text1"/>
                <w:sz w:val="24"/>
                <w:szCs w:val="24"/>
              </w:rPr>
            </w:pPr>
            <w:r>
              <w:rPr>
                <w:color w:val="000000" w:themeColor="text1"/>
                <w:sz w:val="24"/>
                <w:szCs w:val="24"/>
              </w:rPr>
              <w:t/>
            </w:r>
            <w:r>
              <w:rPr>
                <w:color w:val="000000" w:themeColor="text1"/>
                <w:sz w:val="24"/>
                <w:szCs w:val="24"/>
              </w:rPr>
              <w:t/>
            </w:r>
            <w:r w:rsidR="00695D10">
              <w:rPr>
                <w:color w:val="000000" w:themeColor="text1"/>
                <w:sz w:val="24"/>
                <w:szCs w:val="24"/>
              </w:rPr>
              <w:t/>
            </w:r>
            <w:r w:rsidR="00825595" w:rsidRPr="00713154">
              <w:rPr>
                <w:color w:val="000000" w:themeColor="text1"/>
                <w:sz w:val="2"/>
                <w:szCs w:val="2"/>
              </w:rPr>
              <w:t xml:space="preserve"> </w:t>
            </w:r>
            <w:r>
              <w:rPr>
                <w:sz w:val="24"/>
                <w:szCs w:val="24"/>
                <w:color w:val="70AD47"/>
              </w:rPr>
              <w:t xml:space="preserve">Tier I - Level A</w:t>
            </w:r>
            <w:proofErr w:type="spellStart"/>
            <w:r w:rsidR="00695D10">
              <w:rPr>
                <w:color w:val="000000" w:themeColor="text1"/>
                <w:sz w:val="24"/>
                <w:szCs w:val="24"/>
              </w:rPr>
              <w:t/>
            </w:r>
            <w:proofErr w:type="spellEnd"/>
            <w:r w:rsidR="00695D10">
              <w:rPr>
                <w:color w:val="000000" w:themeColor="text1"/>
                <w:sz w:val="24"/>
                <w:szCs w:val="24"/>
              </w:rPr>
              <w:t/>
            </w:r>
          </w:p>
          <w:p w14:paraId="0446979C" w14:textId="77777777" w:rsidR="00557A36" w:rsidRDefault="00557A36" w:rsidP="00354A16">
            <w:pPr>
              <w:widowControl w:val="0"/>
              <w:rPr>
                <w:color w:val="000000" w:themeColor="text1"/>
                <w:sz w:val="24"/>
                <w:szCs w:val="24"/>
              </w:rPr>
            </w:pPr>
          </w:p>
          <w:p w14:paraId="22D7EE3F" w14:textId="6E1DCFF9" w:rsidR="0093769D" w:rsidRPr="00557A36" w:rsidRDefault="00557A36" w:rsidP="00354A16">
            <w:pPr>
              <w:widowControl w:val="0"/>
              <w:rPr>
                <w:color w:val="7F7F7F" w:themeColor="text1" w:themeTint="80"/>
                <w:sz w:val="20"/>
                <w:szCs w:val="20"/>
              </w:rPr>
            </w:pPr>
            <w:r>
              <w:rPr>
                <w:sz w:val="24"/>
                <w:szCs w:val="24"/>
              </w:rPr>
              <w:t xml:space="preserve">Atezolizumab</w:t>
            </w:r>
            <w:r>
              <w:br/>
            </w:r>
            <w:r>
              <w:rPr>
                <w:sz w:val="24"/>
                <w:szCs w:val="24"/>
              </w:rPr>
              <w:t xml:space="preserve">Durvalumab</w:t>
            </w:r>
            <w:r>
              <w:br/>
            </w:r>
            <w:r>
              <w:rPr>
                <w:sz w:val="24"/>
                <w:szCs w:val="24"/>
              </w:rPr>
              <w:t xml:space="preserve">Nivolumab</w:t>
            </w:r>
            <w:r w:rsidR="00C636F1">
              <w:rPr>
                <w:color w:val="000000" w:themeColor="text1"/>
                <w:sz w:val="24"/>
                <w:szCs w:val="24"/>
              </w:rPr>
              <w:t/>
            </w:r>
            <w:proofErr w:type="spellStart"/>
            <w:r>
              <w:rPr>
                <w:color w:val="000000" w:themeColor="text1"/>
                <w:sz w:val="24"/>
                <w:szCs w:val="24"/>
              </w:rPr>
              <w:t/>
            </w:r>
            <w:r w:rsidR="0027624C">
              <w:rPr>
                <w:color w:val="000000" w:themeColor="text1"/>
                <w:sz w:val="24"/>
                <w:szCs w:val="24"/>
              </w:rPr>
              <w:t/>
            </w:r>
            <w:proofErr w:type="spellEnd"/>
            <w:r>
              <w:rPr>
                <w:color w:val="000000" w:themeColor="text1"/>
                <w:sz w:val="24"/>
                <w:szCs w:val="24"/>
              </w:rPr>
              <w:t/>
            </w:r>
          </w:p>
          <w:p w14:paraId="1A341CB9" w14:textId="7D795F8C" w:rsidR="00695D10" w:rsidRPr="0093769D" w:rsidRDefault="00695D10" w:rsidP="00354A16">
            <w:pPr>
              <w:widowControl w:val="0"/>
              <w:rPr>
                <w:color w:val="000000" w:themeColor="text1"/>
                <w:sz w:val="24"/>
                <w:szCs w:val="24"/>
              </w:rPr>
            </w:pPr>
            <w:r>
              <w:rPr>
                <w:color w:val="000000" w:themeColor="text1"/>
                <w:sz w:val="24"/>
                <w:szCs w:val="24"/>
              </w:rPr>
              <w:t/>
            </w:r>
            <w:r>
              <w:rPr>
                <w:color w:val="000000" w:themeColor="text1"/>
                <w:sz w:val="24"/>
                <w:szCs w:val="24"/>
              </w:rPr>
              <w:t/>
            </w:r>
            <w:r w:rsidR="00695D10">
              <w:rPr>
                <w:color w:val="000000" w:themeColor="text1"/>
                <w:sz w:val="24"/>
                <w:szCs w:val="24"/>
              </w:rPr>
              <w:t/>
            </w:r>
            <w:r w:rsidR="00825595" w:rsidRPr="00713154">
              <w:rPr>
                <w:color w:val="000000" w:themeColor="text1"/>
                <w:sz w:val="2"/>
                <w:szCs w:val="2"/>
              </w:rPr>
              <w:t xml:space="preserve"> </w:t>
            </w:r>
            <w:r>
              <w:rPr>
                <w:sz w:val="24"/>
                <w:szCs w:val="24"/>
                <w:color w:val="70AD47"/>
              </w:rPr>
              <w:t xml:space="preserve">Tier I - Level A</w:t>
            </w:r>
            <w:proofErr w:type="spellStart"/>
            <w:r w:rsidR="00695D10">
              <w:rPr>
                <w:color w:val="000000" w:themeColor="text1"/>
                <w:sz w:val="24"/>
                <w:szCs w:val="24"/>
              </w:rPr>
              <w:t/>
            </w:r>
            <w:proofErr w:type="spellEnd"/>
            <w:r w:rsidR="00695D10">
              <w:rPr>
                <w:color w:val="000000" w:themeColor="text1"/>
                <w:sz w:val="24"/>
                <w:szCs w:val="24"/>
              </w:rPr>
              <w:t/>
            </w:r>
          </w:p>
          <w:p w14:paraId="0446979C" w14:textId="77777777" w:rsidR="00557A36" w:rsidRDefault="00557A36" w:rsidP="00354A16">
            <w:pPr>
              <w:widowControl w:val="0"/>
              <w:rPr>
                <w:color w:val="000000" w:themeColor="text1"/>
                <w:sz w:val="24"/>
                <w:szCs w:val="24"/>
              </w:rPr>
            </w:pPr>
          </w:p>
          <w:p w14:paraId="22D7EE3F" w14:textId="6E1DCFF9" w:rsidR="0093769D" w:rsidRPr="00557A36" w:rsidRDefault="00557A36" w:rsidP="00354A16">
            <w:pPr>
              <w:widowControl w:val="0"/>
              <w:rPr>
                <w:color w:val="7F7F7F" w:themeColor="text1" w:themeTint="80"/>
                <w:sz w:val="20"/>
                <w:szCs w:val="20"/>
              </w:rPr>
            </w:pPr>
            <w:r>
              <w:rPr>
                <w:sz w:val="24"/>
                <w:szCs w:val="24"/>
              </w:rPr>
              <w:t xml:space="preserve">Afatinib</w:t>
            </w:r>
            <w:r>
              <w:br/>
            </w:r>
            <w:r>
              <w:rPr>
                <w:sz w:val="24"/>
                <w:szCs w:val="24"/>
              </w:rPr>
              <w:t xml:space="preserve">Atezolizumab</w:t>
            </w:r>
            <w:r>
              <w:br/>
            </w:r>
            <w:r>
              <w:rPr>
                <w:sz w:val="24"/>
                <w:szCs w:val="24"/>
              </w:rPr>
              <w:t xml:space="preserve">Bevacizumab</w:t>
            </w:r>
            <w:r>
              <w:br/>
            </w:r>
            <w:r>
              <w:rPr>
                <w:sz w:val="24"/>
                <w:szCs w:val="24"/>
              </w:rPr>
              <w:t xml:space="preserve">Durvalumab</w:t>
            </w:r>
            <w:r>
              <w:br/>
            </w:r>
            <w:r>
              <w:rPr>
                <w:sz w:val="24"/>
                <w:szCs w:val="24"/>
              </w:rPr>
              <w:t xml:space="preserve">Necitumumab</w:t>
            </w:r>
            <w:r>
              <w:br/>
            </w:r>
            <w:r>
              <w:rPr>
                <w:sz w:val="24"/>
                <w:szCs w:val="24"/>
              </w:rPr>
              <w:t xml:space="preserve">Nivolumab</w:t>
            </w:r>
            <w:r>
              <w:br/>
            </w:r>
            <w:r>
              <w:rPr>
                <w:sz w:val="24"/>
                <w:szCs w:val="24"/>
              </w:rPr>
              <w:t xml:space="preserve">Ramucirumab</w:t>
            </w:r>
            <w:r w:rsidR="00C636F1">
              <w:rPr>
                <w:color w:val="000000" w:themeColor="text1"/>
                <w:sz w:val="24"/>
                <w:szCs w:val="24"/>
              </w:rPr>
              <w:t/>
            </w:r>
            <w:proofErr w:type="spellStart"/>
            <w:r>
              <w:rPr>
                <w:color w:val="000000" w:themeColor="text1"/>
                <w:sz w:val="24"/>
                <w:szCs w:val="24"/>
              </w:rPr>
              <w:t/>
            </w:r>
            <w:r w:rsidR="0027624C">
              <w:rPr>
                <w:color w:val="000000" w:themeColor="text1"/>
                <w:sz w:val="24"/>
                <w:szCs w:val="24"/>
              </w:rPr>
              <w:t/>
            </w:r>
            <w:proofErr w:type="spellEnd"/>
            <w:r>
              <w:rPr>
                <w:color w:val="000000" w:themeColor="text1"/>
                <w:sz w:val="24"/>
                <w:szCs w:val="24"/>
              </w:rPr>
              <w:t/>
            </w:r>
          </w:p>
          <w:p w14:paraId="1A341CB9" w14:textId="7D795F8C" w:rsidR="00695D10" w:rsidRPr="0093769D" w:rsidRDefault="00695D10" w:rsidP="00354A16">
            <w:pPr>
              <w:widowControl w:val="0"/>
              <w:rPr>
                <w:color w:val="000000" w:themeColor="text1"/>
                <w:sz w:val="24"/>
                <w:szCs w:val="24"/>
              </w:rPr>
            </w:pPr>
            <w:r>
              <w:rPr>
                <w:color w:val="000000" w:themeColor="text1"/>
                <w:sz w:val="24"/>
                <w:szCs w:val="24"/>
              </w:rPr>
              <w:t/>
            </w:r>
            <w:r w:rsidR="00722205">
              <w:rPr>
                <w:color w:val="000000" w:themeColor="text1"/>
                <w:sz w:val="24"/>
                <w:szCs w:val="24"/>
              </w:rPr>
              <w:t/>
            </w:r>
          </w:p>
          <w:p w14:paraId="30B84A4C" w14:textId="77777777" w:rsidR="00AD7764" w:rsidRDefault="00AD7764" w:rsidP="00AD7764">
            <w:pPr>
              <w:widowControl w:val="0"/>
              <w:rPr>
                <w:color w:val="7F7F7F" w:themeColor="text1" w:themeTint="80"/>
                <w:sz w:val="20"/>
                <w:szCs w:val="20"/>
              </w:rPr>
            </w:pPr>
          </w:p>
          <w:p w14:paraId="177C3840" w14:textId="10FF6452" w:rsidR="00361833" w:rsidRDefault="0093769D" w:rsidP="00AD7764">
            <w:pPr>
              <w:widowControl w:val="0"/>
              <w:rPr>
                <w:color w:val="7F7F7F" w:themeColor="text1" w:themeTint="80"/>
                <w:sz w:val="20"/>
                <w:szCs w:val="20"/>
              </w:rPr>
            </w:pPr>
            <w:r>
              <w:rPr>
                <w:color w:val="7F7F7F" w:themeColor="text1" w:themeTint="80"/>
                <w:sz w:val="20"/>
                <w:szCs w:val="20"/>
              </w:rPr>
              <w:t xml:space="preserve">Resistance</w:t>
            </w:r>
            <w:r w:rsidR="00361833" w:rsidRPr="005C562F">
              <w:rPr>
                <w:color w:val="7F7F7F" w:themeColor="text1" w:themeTint="80"/>
                <w:sz w:val="20"/>
                <w:szCs w:val="20"/>
              </w:rPr>
              <w:t xml:space="preserve"> to Drugs:</w:t>
            </w:r>
          </w:p>
          <w:p w14:paraId="15CB1400" w14:textId="21205575" w:rsidR="00557A36" w:rsidRDefault="005723B0" w:rsidP="00354A16">
            <w:pPr>
              <w:widowControl w:val="0"/>
              <w:rPr>
                <w:color w:val="000000" w:themeColor="text1"/>
                <w:sz w:val="24"/>
                <w:szCs w:val="24"/>
              </w:rPr>
            </w:pPr>
            <w:r>
              <w:rPr>
                <w:color w:val="000000" w:themeColor="text1"/>
                <w:sz w:val="24"/>
                <w:szCs w:val="24"/>
              </w:rPr>
              <w:t/>
            </w:r>
            <w:r w:rsidR="00D63E14">
              <w:rPr>
                <w:color w:val="000000" w:themeColor="text1"/>
                <w:sz w:val="24"/>
                <w:szCs w:val="24"/>
              </w:rPr>
              <w:t/>
            </w:r>
            <w:proofErr w:type="spellStart"/>
            <w:r w:rsidR="00D63E14">
              <w:rPr>
                <w:color w:val="000000" w:themeColor="text1"/>
                <w:sz w:val="24"/>
                <w:szCs w:val="24"/>
              </w:rPr>
              <w:t/>
            </w:r>
            <w:proofErr w:type="spellEnd"/>
            <w:r w:rsidR="00D63E14">
              <w:rPr>
                <w:color w:val="000000" w:themeColor="text1"/>
                <w:sz w:val="24"/>
                <w:szCs w:val="24"/>
              </w:rPr>
              <w:t xml:space="preserve">None</w:t>
            </w:r>
          </w:p>
          <w:p w14:paraId="3882E7B2" w14:textId="77777777" w:rsidR="00AD7764" w:rsidRDefault="00AD7764" w:rsidP="00AD7764">
            <w:pPr>
              <w:widowControl w:val="0"/>
              <w:rPr>
                <w:color w:val="7F7F7F" w:themeColor="text1" w:themeTint="80"/>
                <w:sz w:val="20"/>
                <w:szCs w:val="20"/>
              </w:rPr>
            </w:pPr>
          </w:p>
          <w:p w14:paraId="6D058F4B" w14:textId="7348521C" w:rsidR="00354A16" w:rsidRDefault="00354A16" w:rsidP="00AD7764">
            <w:pPr>
              <w:widowControl w:val="0"/>
              <w:rPr>
                <w:color w:val="7F7F7F" w:themeColor="text1" w:themeTint="80"/>
                <w:sz w:val="20"/>
                <w:szCs w:val="20"/>
              </w:rPr>
            </w:pPr>
            <w:r>
              <w:rPr>
                <w:color w:val="7F7F7F" w:themeColor="text1" w:themeTint="80"/>
                <w:sz w:val="20"/>
                <w:szCs w:val="20"/>
              </w:rPr>
              <w:t xml:space="preserve">Biomarker</w:t>
            </w:r>
            <w:r w:rsidR="00F17FCC">
              <w:rPr>
                <w:color w:val="7F7F7F" w:themeColor="text1" w:themeTint="80"/>
                <w:sz w:val="20"/>
                <w:szCs w:val="20"/>
              </w:rPr>
              <w:t xml:space="preserve">(s)</w:t>
            </w:r>
            <w:r>
              <w:rPr>
                <w:color w:val="7F7F7F" w:themeColor="text1" w:themeTint="80"/>
                <w:sz w:val="20"/>
                <w:szCs w:val="20"/>
              </w:rPr>
              <w:t xml:space="preserve">:</w:t>
            </w:r>
          </w:p>
          <w:p w14:paraId="60F73242" w14:textId="49336D4E" w:rsidR="00CA7568" w:rsidRPr="00B21E25" w:rsidRDefault="005723B0" w:rsidP="00AD7764">
            <w:pPr>
              <w:widowControl w:val="0"/>
              <w:rPr>
                <w:color w:val="000000" w:themeColor="text1"/>
                <w:sz w:val="24"/>
                <w:szCs w:val="24"/>
              </w:rPr>
            </w:pPr>
            <w:r>
              <w:rPr>
                <w:color w:val="000000" w:themeColor="text1"/>
                <w:sz w:val="24"/>
                <w:szCs w:val="24"/>
              </w:rPr>
              <w:t/>
            </w:r>
            <w:proofErr w:type="spellStart"/>
            <w:r>
              <w:rPr>
                <w:color w:val="000000" w:themeColor="text1"/>
                <w:sz w:val="24"/>
                <w:szCs w:val="24"/>
              </w:rPr>
              <w:t/>
            </w:r>
            <w:proofErr w:type="spellEnd"/>
            <w:r>
              <w:rPr>
                <w:color w:val="000000" w:themeColor="text1"/>
                <w:sz w:val="24"/>
                <w:szCs w:val="24"/>
              </w:rPr>
              <w:t/>
            </w:r>
          </w:p>
        </w:tc>
        <w:tc>
          <w:tcPr>
            <w:tcW w:w="7233" w:type="dxa"/>
            <w:tcBorders>
              <w:top w:val="single" w:sz="4" w:space="0" w:color="auto"/>
              <w:bottom w:val="single" w:sz="4" w:space="0" w:color="auto"/>
            </w:tcBorders>
          </w:tcPr>
          <w:p w14:paraId="2939F7B9" w14:textId="77777777" w:rsidR="0093769D" w:rsidRPr="000A015C" w:rsidRDefault="0093769D" w:rsidP="0093769D">
            <w:pPr>
              <w:widowControl w:val="0"/>
              <w:rPr>
                <w:b/>
                <w:color w:val="262626" w:themeColor="text1" w:themeTint="D9"/>
                <w:sz w:val="20"/>
                <w:szCs w:val="20"/>
              </w:rPr>
            </w:pPr>
            <w:bookmarkStart w:id="6" w:name="_Hlk338067"/>
          </w:p>
          <w:p w14:paraId="693E412F" w14:textId="54E8D0E1" w:rsidR="0093769D" w:rsidRDefault="00647C0A" w:rsidP="0093769D">
            <w:pPr>
              <w:widowControl w:val="0"/>
              <w:rPr>
                <w:b/>
                <w:color w:val="262626" w:themeColor="text1" w:themeTint="D9"/>
                <w:sz w:val="20"/>
                <w:szCs w:val="20"/>
              </w:rPr>
            </w:pPr>
            <w:r>
              <w:rPr>
                <w:b/>
                <w:color w:val="262626" w:themeColor="text1" w:themeTint="D9"/>
                <w:sz w:val="20"/>
                <w:szCs w:val="20"/>
              </w:rPr>
              <w:t/>
            </w:r>
            <w:r w:rsidR="00C45B28">
              <w:rPr>
                <w:b/>
                <w:color w:val="262626" w:themeColor="text1" w:themeTint="D9"/>
                <w:sz w:val="20"/>
                <w:szCs w:val="20"/>
              </w:rPr>
              <w:t/>
            </w:r>
            <w:r w:rsidR="00B21E25">
              <w:rPr>
                <w:b/>
                <w:color w:val="262626" w:themeColor="text1" w:themeTint="D9"/>
                <w:sz w:val="20"/>
                <w:szCs w:val="20"/>
              </w:rPr>
              <w:t xml:space="preserve"> </w:t>
            </w:r>
            <w:r w:rsidR="0093769D">
              <w:rPr>
                <w:b/>
                <w:color w:val="262626" w:themeColor="text1" w:themeTint="D9"/>
                <w:sz w:val="20"/>
                <w:szCs w:val="20"/>
              </w:rPr>
              <w:t xml:space="preserve">Drug Sensitivity</w:t>
            </w:r>
            <w:r w:rsidR="0093769D" w:rsidRPr="002F70CC">
              <w:rPr>
                <w:b/>
                <w:color w:val="262626" w:themeColor="text1" w:themeTint="D9"/>
                <w:sz w:val="20"/>
                <w:szCs w:val="20"/>
              </w:rPr>
              <w:t xml:space="preserve">:</w:t>
            </w:r>
          </w:p>
          <w:p w14:paraId="1457A61B" w14:textId="2F8C6D48" w:rsidR="0093769D" w:rsidRPr="005B70C4" w:rsidRDefault="00BD0C31" w:rsidP="0093769D">
            <w:pPr>
              <w:widowControl w:val="0"/>
              <w:rPr>
                <w:bCs/>
                <w:i/>
                <w:iCs/>
                <w:color w:val="262626" w:themeColor="text1" w:themeTint="D9"/>
                <w:sz w:val="20"/>
                <w:szCs w:val="20"/>
              </w:rPr>
            </w:pPr>
            <w:r>
              <w:rPr>
                <w:bCs/>
                <w:i/>
                <w:iCs/>
                <w:color w:val="262626" w:themeColor="text1" w:themeTint="D9"/>
                <w:sz w:val="20"/>
                <w:szCs w:val="20"/>
              </w:rPr>
              <w:t xml:space="preserve">Tier I - Level A</w:t>
            </w:r>
          </w:p>
          <w:p w14:paraId="018C2138" w14:textId="08699EE5" w:rsidR="0093769D" w:rsidRDefault="00BD0C31" w:rsidP="0093769D">
            <w:pPr>
              <w:rPr>
                <w:sz w:val="20"/>
                <w:szCs w:val="20"/>
              </w:rPr>
            </w:pPr>
            <w:r>
              <w:rPr>
                <w:sz w:val="20"/>
                <w:szCs w:val="20"/>
              </w:rPr>
              <w:t xml:space="preserve">The following targeted therapies are FDA/EMA approved and/or recommended by NCCN guidelines for the treatment of patients with non-small cell lung cancer with resectable or unresectable/metastatic tumors, of squamous and/or non-squamous histology, whose diseases were stable after chemotherapy or progressed on or following chemotherapy or treatment with EGFR/ALK inhibitors (NCCN Guidelines for Non-Small Cell Lung Cancer). These therapies are administered either as monotherapy or in association with chemotherapy, depending on the medication.  </w:t>
            </w:r>
            <w:r>
              <w:rPr>
                <w:sz w:val="20"/>
                <w:szCs w:val="20"/>
              </w:rPr>
              <w:t xml:space="preserve"> </w:t>
            </w:r>
            <w:r>
              <w:rPr>
                <w:sz w:val="20"/>
                <w:szCs w:val="20"/>
              </w:rPr>
              <w:t xml:space="preserve">Atezolizumab (Tecentriq) (PMID: 27979383), durvalumab (Imfinzi) (PMID: 28885881, 30280658, 32209338, 33583206, 34731446), and nivolumab (Opdivo) (PMID: 35403841, 26028407, 26412456, 29023213, 33449799) are injectable immune checkpoint inhibitor monoclonal antibodies that inhibit PD-L1 (PMID: 34937915, 28878676). Ramucirumab (Cyramza) is an injectable monoclonal antibody that selectively targets KDR (VEGFR2) (PMID: 23718298, 30314524, 27306885, 29191593, 24933332). </w:t>
            </w:r>
            <w:r>
              <w:rPr>
                <w:sz w:val="20"/>
                <w:szCs w:val="20"/>
              </w:rPr>
              <w:t xml:space="preserve"> </w:t>
            </w:r>
            <w:r>
              <w:rPr>
                <w:sz w:val="20"/>
                <w:szCs w:val="20"/>
              </w:rPr>
              <w:t xml:space="preserve">Certain patients with non-squamous non-small cell lung cancer can also be treated with bevacizumab (Avastin), an injectable humanized mAb that functions as an angiogenesis inhibitor by targeting VEGF (PMID: 23419196, 20688807, 32335505, 17167137, 17602060, 33725344, 20150572). </w:t>
            </w:r>
            <w:r>
              <w:rPr>
                <w:sz w:val="20"/>
                <w:szCs w:val="20"/>
              </w:rPr>
              <w:t xml:space="preserve"> </w:t>
            </w:r>
            <w:r>
              <w:rPr>
                <w:sz w:val="20"/>
                <w:szCs w:val="20"/>
              </w:rPr>
              <w:t xml:space="preserve">Patients with squamous non-small cell lung cancer may also qualify for treatment with the following FDA-approved drugs: afatinib (Gilotrif), pembrolizumab (Keytruda) and necitumumab (Portrazza). Afatinib is a tyrosine kinase inhibitor that irreversibly inhibits the ERBB/HER family of receptors, including EGFR (PMID: 30392436, 29902295, 26156651, 33061419). Pembrolizumab is an injectable immune checkpoint inhibitor monoclonal antibody that inhibits the PD-1 receptor (PMID: 34937915, 31432705, 30280635, 31751163). Necitumumab is a monoclonal antibody with antagonist activity towards EGFR (PMID: 18275813, 30025476, 26045340, 26980471). The NCCN guidelines recommend against the use of necitumumab in squamous non-small cell lung cancer due to toxicity, cost and limited improvement in the efficacy of the combination therapy compared to the chemotherapy regimen alone (NCCN Guidelines for Non-Small Cell Lung Cancer).</w:t>
            </w:r>
            <w:r w:rsidR="00A21B37">
              <w:rPr>
                <w:sz w:val="20"/>
                <w:szCs w:val="20"/>
              </w:rPr>
              <w:t/>
            </w:r>
            <w:r>
              <w:rPr>
                <w:sz w:val="20"/>
                <w:szCs w:val="20"/>
              </w:rPr>
              <w:t/>
            </w:r>
          </w:p>
          <w:p w14:paraId="77E318CA" w14:textId="10B37543" w:rsidR="0093769D" w:rsidRDefault="00BD0C31" w:rsidP="0093769D">
            <w:r>
              <w:t xml:space="preserve">Tier I - Level A</w:t>
            </w:r>
          </w:p>
          <w:p w14:paraId="018C2138" w14:textId="08699EE5" w:rsidR="0093769D" w:rsidRDefault="00BD0C31" w:rsidP="0093769D">
            <w:pPr>
              <w:rPr>
                <w:sz w:val="20"/>
                <w:szCs w:val="20"/>
              </w:rPr>
            </w:pPr>
            <w:r>
              <w:rPr>
                <w:sz w:val="20"/>
                <w:szCs w:val="20"/>
              </w:rPr>
              <w:t xml:space="preserve">Atezolizumab (Tecentriq), durvalumab (Imfinzi) and nivolumab (Opdivo) are injectable immune checkpoint inhibitor monoclonal antibodies that inhibit PD-L1 (PMID: 34937915, 34731446, 28878676). Atezolizumab is FDA approved as a single agent for the treatment of metastatic NSCLC patients who have disease progression during or after chemotherapy (PMID: 27979383). Durvalumab is indicated for patients with unresectable NSCLC whose disease has not progressed following chemoradiotherapy (PMID: 28885881, 30280658, 32209338, 33583206). Nivolumab is FDA approved in combination with chemotherapy as neoadjuvant treatment of adult patients with resectable NSCLC (PMID: 35403841). It is also indicated as a single agent for the treatment of patients with metastatic NSCLC with progression on or after platinum-based chemotherapy (PMID: 26028407, 33449799).</w:t>
            </w:r>
            <w:r w:rsidR="00A21B37">
              <w:rPr>
                <w:sz w:val="20"/>
                <w:szCs w:val="20"/>
              </w:rPr>
              <w:t/>
            </w:r>
            <w:r>
              <w:rPr>
                <w:sz w:val="20"/>
                <w:szCs w:val="20"/>
              </w:rPr>
              <w:t/>
            </w:r>
          </w:p>
          <w:p w14:paraId="77E318CA" w14:textId="10B37543" w:rsidR="0093769D" w:rsidRDefault="00BD0C31" w:rsidP="0093769D">
            <w:r>
              <w:t xml:space="preserve">Tier I - Level A</w:t>
            </w:r>
          </w:p>
          <w:p w14:paraId="018C2138" w14:textId="08699EE5" w:rsidR="0093769D" w:rsidRDefault="00BD0C31" w:rsidP="0093769D">
            <w:pPr>
              <w:rPr>
                <w:sz w:val="20"/>
                <w:szCs w:val="20"/>
              </w:rPr>
            </w:pPr>
            <w:r>
              <w:rPr>
                <w:sz w:val="20"/>
                <w:szCs w:val="20"/>
              </w:rPr>
              <w:t xml:space="preserve">Atezolizumab (Tecentriq), durvalumab (Imfinzi) and nivolumab (Opdivo) are injectable immune checkpoint inhibitor monoclonal antibodies that inhibit PD-L1 (PMID: 34937915, 34731446, 28878676). Atezolizumab is FDA approved as a single agent for the treatment of metastatic NSCLC patients who have disease progression during or after chemotherapy (PMID: 27979383). Durvalumab is indicated for patients with unresectable NSCLC whose disease has not progressed following chemoradiotherapy (PMID: 28885881, 30280658, 32209338, 33583206). Nivolumab is FDA approved in combination with chemotherapy as neoadjuvant treatment of adult patients with resectable NSCLC (PMID: 35403841). It is also indicated as a single agent for the treatment of patients with metastatic NSCLC with progression on or after platinum-based chemotherapy (PMID: 26028407, 33449799).</w:t>
            </w:r>
            <w:r w:rsidR="00A21B37">
              <w:rPr>
                <w:sz w:val="20"/>
                <w:szCs w:val="20"/>
              </w:rPr>
              <w:t/>
            </w:r>
            <w:r>
              <w:rPr>
                <w:sz w:val="20"/>
                <w:szCs w:val="20"/>
              </w:rPr>
              <w:t/>
            </w:r>
          </w:p>
          <w:p w14:paraId="77E318CA" w14:textId="10B37543" w:rsidR="0093769D" w:rsidRDefault="00BD0C31" w:rsidP="0093769D">
            <w:r>
              <w:t xml:space="preserve">Tier I - Level A</w:t>
            </w:r>
          </w:p>
          <w:p w14:paraId="018C2138" w14:textId="08699EE5" w:rsidR="0093769D" w:rsidRDefault="00BD0C31" w:rsidP="0093769D">
            <w:pPr>
              <w:rPr>
                <w:sz w:val="20"/>
                <w:szCs w:val="20"/>
              </w:rPr>
            </w:pPr>
            <w:r>
              <w:rPr>
                <w:sz w:val="20"/>
                <w:szCs w:val="20"/>
              </w:rPr>
              <w:t xml:space="preserve">The following targeted therapies are FDA/EMA approved and/or recommended by NCCN guidelines for the treatment of patients with non-small cell lung cancer with resectable or unresectable/metastatic tumors, of squamous and/or non-squamous histology, whose diseases were stable after chemotherapy or progressed on or following chemotherapy or treatment with EGFR/ALK inhibitors (NCCN Guidelines for Non-Small Cell Lung Cancer). These therapies are administered either as monotherapy or in association with chemotherapy, depending on the medication.  </w:t>
            </w:r>
            <w:r>
              <w:rPr>
                <w:sz w:val="20"/>
                <w:szCs w:val="20"/>
              </w:rPr>
              <w:t xml:space="preserve"> </w:t>
            </w:r>
            <w:r>
              <w:rPr>
                <w:sz w:val="20"/>
                <w:szCs w:val="20"/>
              </w:rPr>
              <w:t xml:space="preserve">Atezolizumab (Tecentriq) (PMID: 27979383), durvalumab (Imfinzi) (PMID: 28885881, 30280658, 32209338, 33583206, 34731446), and nivolumab (Opdivo) (PMID: 35403841, 26028407, 26412456, 29023213, 33449799) are injectable immune checkpoint inhibitor monoclonal antibodies that inhibit PD-L1 (PMID: 34937915, 28878676). Ramucirumab (Cyramza) is an injectable monoclonal antibody that selectively targets KDR (VEGFR2) (PMID: 23718298, 30314524, 27306885, 29191593, 24933332). </w:t>
            </w:r>
            <w:r>
              <w:rPr>
                <w:sz w:val="20"/>
                <w:szCs w:val="20"/>
              </w:rPr>
              <w:t xml:space="preserve"> </w:t>
            </w:r>
            <w:r>
              <w:rPr>
                <w:sz w:val="20"/>
                <w:szCs w:val="20"/>
              </w:rPr>
              <w:t xml:space="preserve">Certain patients with non-squamous non-small cell lung cancer can also be treated with bevacizumab (Avastin), an injectable humanized mAb that functions as an angiogenesis inhibitor by targeting VEGF (PMID: 23419196, 20688807, 32335505, 17167137, 17602060, 33725344, 20150572). </w:t>
            </w:r>
            <w:r>
              <w:rPr>
                <w:sz w:val="20"/>
                <w:szCs w:val="20"/>
              </w:rPr>
              <w:t xml:space="preserve"> </w:t>
            </w:r>
            <w:r>
              <w:rPr>
                <w:sz w:val="20"/>
                <w:szCs w:val="20"/>
              </w:rPr>
              <w:t xml:space="preserve">Patients with squamous non-small cell lung cancer may also qualify for treatment with the following FDA-approved drugs: afatinib (Gilotrif), pembrolizumab (Keytruda) and necitumumab (Portrazza). Afatinib is a tyrosine kinase inhibitor that irreversibly inhibits the ERBB/HER family of receptors, including EGFR (PMID: 30392436, 29902295, 26156651, 33061419). Pembrolizumab is an injectable immune checkpoint inhibitor monoclonal antibody that inhibits the PD-1 receptor (PMID: 34937915, 31432705, 30280635, 31751163). Necitumumab is a monoclonal antibody with antagonist activity towards EGFR (PMID: 18275813, 30025476, 26045340, 26980471). The NCCN guidelines recommend against the use of necitumumab in squamous non-small cell lung cancer due to toxicity, cost and limited improvement in the efficacy of the combination therapy compared to the chemotherapy regimen alone (NCCN Guidelines for Non-Small Cell Lung Cancer).</w:t>
            </w:r>
            <w:r w:rsidR="00A21B37">
              <w:rPr>
                <w:sz w:val="20"/>
                <w:szCs w:val="20"/>
              </w:rPr>
              <w:t/>
            </w:r>
            <w:r>
              <w:rPr>
                <w:sz w:val="20"/>
                <w:szCs w:val="20"/>
              </w:rPr>
              <w:t/>
            </w:r>
          </w:p>
          <w:p w14:paraId="77E318CA" w14:textId="10B37543" w:rsidR="0093769D" w:rsidRDefault="00BD0C31" w:rsidP="0093769D">
            <w:r>
              <w:t/>
            </w:r>
          </w:p>
          <w:p w14:paraId="5E3AE71B" w14:textId="7B63D9C2" w:rsidR="0093769D" w:rsidRDefault="00647C0A" w:rsidP="0093769D">
            <w:pPr>
              <w:widowControl w:val="0"/>
              <w:rPr>
                <w:b/>
                <w:color w:val="262626" w:themeColor="text1" w:themeTint="D9"/>
                <w:sz w:val="20"/>
                <w:szCs w:val="20"/>
              </w:rPr>
            </w:pPr>
            <w:r>
              <w:rPr>
                <w:b/>
                <w:color w:val="262626" w:themeColor="text1" w:themeTint="D9"/>
                <w:sz w:val="20"/>
                <w:szCs w:val="20"/>
              </w:rPr>
              <w:t/>
            </w:r>
            <w:r w:rsidR="00FC1812">
              <w:rPr>
                <w:b/>
                <w:color w:val="262626" w:themeColor="text1" w:themeTint="D9"/>
                <w:sz w:val="20"/>
                <w:szCs w:val="20"/>
              </w:rPr>
              <w:t/>
            </w:r>
            <w:r w:rsidR="009F50D7">
              <w:rPr>
                <w:b/>
                <w:color w:val="262626" w:themeColor="text1" w:themeTint="D9"/>
                <w:sz w:val="20"/>
                <w:szCs w:val="20"/>
              </w:rPr>
              <w:t/>
            </w:r>
            <w:bookmarkEnd w:id="6"/>
          </w:p>
          <w:p w14:paraId="7C8C51E4" w14:textId="7C4C2BC4" w:rsidR="00974465" w:rsidRPr="00861B32" w:rsidRDefault="00B7574D" w:rsidP="00974465">
            <w:pPr>
              <w:widowControl w:val="0"/>
              <w:rPr>
                <w:rFonts w:cstheme="minorHAnsi"/>
                <w:smallCaps/>
                <w:color w:val="0D0D0D" w:themeColor="text1" w:themeTint="F2"/>
                <w:spacing w:val="10"/>
                <w:sz w:val="20"/>
                <w:szCs w:val="20"/>
              </w:rPr>
            </w:pPr>
            <w:r>
              <w:rPr>
                <w:rFonts w:cstheme="minorHAnsi"/>
                <w:smallCaps/>
                <w:color w:val="0D0D0D" w:themeColor="text1" w:themeTint="F2"/>
                <w:spacing w:val="10"/>
                <w:sz w:val="20"/>
                <w:szCs w:val="20"/>
              </w:rPr>
              <w:t/>
            </w:r>
          </w:p>
        </w:tc>
      </w:tr>
      <w:tr w:rsidR="00974465" w14:paraId="2E2EA49F" w14:textId="77777777" w:rsidTr="00871629">
        <w:trPr>
          <w:trHeight w:val="2403"/>
        </w:trPr>
        <w:tc>
          <w:tcPr>
            <w:tcW w:w="3797" w:type="dxa"/>
            <w:tcBorders>
              <w:top w:val="single" w:sz="4" w:space="0" w:color="auto"/>
              <w:bottom w:val="single" w:sz="4" w:space="0" w:color="auto"/>
            </w:tcBorders>
          </w:tcPr>
          <w:p w14:paraId="6351F0D4" w14:textId="77777777" w:rsidR="00557A36" w:rsidRDefault="00557A36" w:rsidP="00AD7764">
            <w:pPr>
              <w:widowControl w:val="0"/>
              <w:rPr>
                <w:color w:val="7F7F7F" w:themeColor="text1" w:themeTint="80"/>
                <w:sz w:val="20"/>
                <w:szCs w:val="20"/>
              </w:rPr>
            </w:pPr>
          </w:p>
          <w:p w14:paraId="6B5F6730" w14:textId="51BD3974" w:rsidR="00AD7764" w:rsidRPr="00321B21" w:rsidRDefault="00B7574D" w:rsidP="00AD7764">
            <w:pPr>
              <w:widowControl w:val="0"/>
              <w:rPr>
                <w:color w:val="7F7F7F" w:themeColor="text1" w:themeTint="80"/>
                <w:sz w:val="20"/>
                <w:szCs w:val="20"/>
              </w:rPr>
            </w:pPr>
            <w:r>
              <w:rPr>
                <w:color w:val="7F7F7F" w:themeColor="text1" w:themeTint="80"/>
                <w:sz w:val="20"/>
                <w:szCs w:val="20"/>
              </w:rPr>
              <w:t/>
            </w:r>
            <w:r w:rsidR="0093769D" w:rsidRPr="005C562F">
              <w:rPr>
                <w:color w:val="7F7F7F" w:themeColor="text1" w:themeTint="80"/>
                <w:sz w:val="20"/>
                <w:szCs w:val="20"/>
              </w:rPr>
              <w:t xml:space="preserve">Sensitivity to Drugs</w:t>
            </w:r>
            <w:r w:rsidR="00AD7764" w:rsidRPr="00321B21">
              <w:rPr>
                <w:color w:val="7F7F7F" w:themeColor="text1" w:themeTint="80"/>
                <w:sz w:val="20"/>
                <w:szCs w:val="20"/>
              </w:rPr>
              <w:t xml:space="preserve">:</w:t>
            </w:r>
          </w:p>
          <w:p w14:paraId="1CC931F5" w14:textId="707B25AB" w:rsidR="00557A36" w:rsidRDefault="00AD7764" w:rsidP="00354A16">
            <w:pPr>
              <w:widowControl w:val="0"/>
              <w:rPr>
                <w:color w:val="000000" w:themeColor="text1"/>
                <w:sz w:val="24"/>
                <w:szCs w:val="24"/>
              </w:rPr>
            </w:pPr>
            <w:r w:rsidRPr="00321B21">
              <w:rPr>
                <w:color w:val="000000" w:themeColor="text1"/>
                <w:sz w:val="24"/>
                <w:szCs w:val="24"/>
              </w:rPr>
              <w:t/>
            </w:r>
            <w:r>
              <w:rPr>
                <w:color w:val="000000" w:themeColor="text1"/>
                <w:sz w:val="24"/>
                <w:szCs w:val="24"/>
              </w:rPr>
              <w:t/>
            </w:r>
            <w:r w:rsidR="00695D10">
              <w:rPr>
                <w:color w:val="000000" w:themeColor="text1"/>
                <w:sz w:val="24"/>
                <w:szCs w:val="24"/>
              </w:rPr>
              <w:t/>
            </w:r>
            <w:r w:rsidR="00825595" w:rsidRPr="00713154">
              <w:rPr>
                <w:color w:val="000000" w:themeColor="text1"/>
                <w:sz w:val="2"/>
                <w:szCs w:val="2"/>
              </w:rPr>
              <w:t xml:space="preserve"> </w:t>
            </w:r>
            <w:r>
              <w:rPr>
                <w:sz w:val="24"/>
                <w:szCs w:val="24"/>
                <w:color w:val="70AD47"/>
              </w:rPr>
              <w:t xml:space="preserve">Tier I - Level A</w:t>
            </w:r>
            <w:proofErr w:type="spellStart"/>
            <w:r w:rsidR="00695D10">
              <w:rPr>
                <w:color w:val="000000" w:themeColor="text1"/>
                <w:sz w:val="24"/>
                <w:szCs w:val="24"/>
              </w:rPr>
              <w:t/>
            </w:r>
            <w:proofErr w:type="spellEnd"/>
            <w:r w:rsidR="00695D10">
              <w:rPr>
                <w:color w:val="000000" w:themeColor="text1"/>
                <w:sz w:val="24"/>
                <w:szCs w:val="24"/>
              </w:rPr>
              <w:t/>
            </w:r>
          </w:p>
          <w:p w14:paraId="0446979C" w14:textId="77777777" w:rsidR="00557A36" w:rsidRDefault="00557A36" w:rsidP="00354A16">
            <w:pPr>
              <w:widowControl w:val="0"/>
              <w:rPr>
                <w:color w:val="000000" w:themeColor="text1"/>
                <w:sz w:val="24"/>
                <w:szCs w:val="24"/>
              </w:rPr>
            </w:pPr>
          </w:p>
          <w:p w14:paraId="22D7EE3F" w14:textId="6E1DCFF9" w:rsidR="0093769D" w:rsidRPr="00557A36" w:rsidRDefault="00557A36" w:rsidP="00354A16">
            <w:pPr>
              <w:widowControl w:val="0"/>
              <w:rPr>
                <w:color w:val="7F7F7F" w:themeColor="text1" w:themeTint="80"/>
                <w:sz w:val="20"/>
                <w:szCs w:val="20"/>
              </w:rPr>
            </w:pPr>
            <w:r>
              <w:rPr>
                <w:sz w:val="24"/>
                <w:szCs w:val="24"/>
              </w:rPr>
              <w:t xml:space="preserve">Osimertinib</w:t>
            </w:r>
            <w:r w:rsidR="00C636F1">
              <w:rPr>
                <w:color w:val="000000" w:themeColor="text1"/>
                <w:sz w:val="24"/>
                <w:szCs w:val="24"/>
              </w:rPr>
              <w:t/>
            </w:r>
            <w:proofErr w:type="spellStart"/>
            <w:r>
              <w:rPr>
                <w:color w:val="000000" w:themeColor="text1"/>
                <w:sz w:val="24"/>
                <w:szCs w:val="24"/>
              </w:rPr>
              <w:t/>
            </w:r>
            <w:r w:rsidR="0027624C">
              <w:rPr>
                <w:color w:val="000000" w:themeColor="text1"/>
                <w:sz w:val="24"/>
                <w:szCs w:val="24"/>
              </w:rPr>
              <w:t/>
            </w:r>
            <w:proofErr w:type="spellEnd"/>
            <w:r>
              <w:rPr>
                <w:color w:val="000000" w:themeColor="text1"/>
                <w:sz w:val="24"/>
                <w:szCs w:val="24"/>
              </w:rPr>
              <w:t/>
            </w:r>
          </w:p>
          <w:p w14:paraId="1A341CB9" w14:textId="7D795F8C" w:rsidR="00695D10" w:rsidRPr="0093769D" w:rsidRDefault="00695D10" w:rsidP="00354A16">
            <w:pPr>
              <w:widowControl w:val="0"/>
              <w:rPr>
                <w:color w:val="000000" w:themeColor="text1"/>
                <w:sz w:val="24"/>
                <w:szCs w:val="24"/>
              </w:rPr>
            </w:pPr>
            <w:r>
              <w:rPr>
                <w:color w:val="000000" w:themeColor="text1"/>
                <w:sz w:val="24"/>
                <w:szCs w:val="24"/>
              </w:rPr>
              <w:t/>
            </w:r>
            <w:r>
              <w:rPr>
                <w:color w:val="000000" w:themeColor="text1"/>
                <w:sz w:val="24"/>
                <w:szCs w:val="24"/>
              </w:rPr>
              <w:t/>
            </w:r>
            <w:r w:rsidR="00695D10">
              <w:rPr>
                <w:color w:val="000000" w:themeColor="text1"/>
                <w:sz w:val="24"/>
                <w:szCs w:val="24"/>
              </w:rPr>
              <w:t/>
            </w:r>
            <w:r w:rsidR="00825595" w:rsidRPr="00713154">
              <w:rPr>
                <w:color w:val="000000" w:themeColor="text1"/>
                <w:sz w:val="2"/>
                <w:szCs w:val="2"/>
              </w:rPr>
              <w:t xml:space="preserve"> </w:t>
            </w:r>
            <w:r>
              <w:rPr>
                <w:sz w:val="24"/>
                <w:szCs w:val="24"/>
                <w:color w:val="70AD47"/>
              </w:rPr>
              <w:t xml:space="preserve">Tier I - Level A</w:t>
            </w:r>
            <w:proofErr w:type="spellStart"/>
            <w:r w:rsidR="00695D10">
              <w:rPr>
                <w:color w:val="000000" w:themeColor="text1"/>
                <w:sz w:val="24"/>
                <w:szCs w:val="24"/>
              </w:rPr>
              <w:t/>
            </w:r>
            <w:proofErr w:type="spellEnd"/>
            <w:r w:rsidR="00695D10">
              <w:rPr>
                <w:color w:val="000000" w:themeColor="text1"/>
                <w:sz w:val="24"/>
                <w:szCs w:val="24"/>
              </w:rPr>
              <w:t/>
            </w:r>
          </w:p>
          <w:p w14:paraId="0446979C" w14:textId="77777777" w:rsidR="00557A36" w:rsidRDefault="00557A36" w:rsidP="00354A16">
            <w:pPr>
              <w:widowControl w:val="0"/>
              <w:rPr>
                <w:color w:val="000000" w:themeColor="text1"/>
                <w:sz w:val="24"/>
                <w:szCs w:val="24"/>
              </w:rPr>
            </w:pPr>
          </w:p>
          <w:p w14:paraId="22D7EE3F" w14:textId="6E1DCFF9" w:rsidR="0093769D" w:rsidRPr="00557A36" w:rsidRDefault="00557A36" w:rsidP="00354A16">
            <w:pPr>
              <w:widowControl w:val="0"/>
              <w:rPr>
                <w:color w:val="7F7F7F" w:themeColor="text1" w:themeTint="80"/>
                <w:sz w:val="20"/>
                <w:szCs w:val="20"/>
              </w:rPr>
            </w:pPr>
            <w:r>
              <w:rPr>
                <w:sz w:val="24"/>
                <w:szCs w:val="24"/>
              </w:rPr>
              <w:t xml:space="preserve">Osimertinib</w:t>
            </w:r>
            <w:r w:rsidR="00C636F1">
              <w:rPr>
                <w:color w:val="000000" w:themeColor="text1"/>
                <w:sz w:val="24"/>
                <w:szCs w:val="24"/>
              </w:rPr>
              <w:t/>
            </w:r>
            <w:proofErr w:type="spellStart"/>
            <w:r>
              <w:rPr>
                <w:color w:val="000000" w:themeColor="text1"/>
                <w:sz w:val="24"/>
                <w:szCs w:val="24"/>
              </w:rPr>
              <w:t/>
            </w:r>
            <w:r w:rsidR="0027624C">
              <w:rPr>
                <w:color w:val="000000" w:themeColor="text1"/>
                <w:sz w:val="24"/>
                <w:szCs w:val="24"/>
              </w:rPr>
              <w:t/>
            </w:r>
            <w:proofErr w:type="spellEnd"/>
            <w:r>
              <w:rPr>
                <w:color w:val="000000" w:themeColor="text1"/>
                <w:sz w:val="24"/>
                <w:szCs w:val="24"/>
              </w:rPr>
              <w:t/>
            </w:r>
          </w:p>
          <w:p w14:paraId="1A341CB9" w14:textId="7D795F8C" w:rsidR="00695D10" w:rsidRPr="0093769D" w:rsidRDefault="00695D10" w:rsidP="00354A16">
            <w:pPr>
              <w:widowControl w:val="0"/>
              <w:rPr>
                <w:color w:val="000000" w:themeColor="text1"/>
                <w:sz w:val="24"/>
                <w:szCs w:val="24"/>
              </w:rPr>
            </w:pPr>
            <w:r>
              <w:rPr>
                <w:color w:val="000000" w:themeColor="text1"/>
                <w:sz w:val="24"/>
                <w:szCs w:val="24"/>
              </w:rPr>
              <w:t/>
            </w:r>
            <w:r w:rsidR="00722205">
              <w:rPr>
                <w:color w:val="000000" w:themeColor="text1"/>
                <w:sz w:val="24"/>
                <w:szCs w:val="24"/>
              </w:rPr>
              <w:t/>
            </w:r>
          </w:p>
          <w:p w14:paraId="30B84A4C" w14:textId="77777777" w:rsidR="00AD7764" w:rsidRDefault="00AD7764" w:rsidP="00AD7764">
            <w:pPr>
              <w:widowControl w:val="0"/>
              <w:rPr>
                <w:color w:val="7F7F7F" w:themeColor="text1" w:themeTint="80"/>
                <w:sz w:val="20"/>
                <w:szCs w:val="20"/>
              </w:rPr>
            </w:pPr>
          </w:p>
          <w:p w14:paraId="177C3840" w14:textId="10FF6452" w:rsidR="00361833" w:rsidRDefault="0093769D" w:rsidP="00AD7764">
            <w:pPr>
              <w:widowControl w:val="0"/>
              <w:rPr>
                <w:color w:val="7F7F7F" w:themeColor="text1" w:themeTint="80"/>
                <w:sz w:val="20"/>
                <w:szCs w:val="20"/>
              </w:rPr>
            </w:pPr>
            <w:r>
              <w:rPr>
                <w:color w:val="7F7F7F" w:themeColor="text1" w:themeTint="80"/>
                <w:sz w:val="20"/>
                <w:szCs w:val="20"/>
              </w:rPr>
              <w:t xml:space="preserve">Resistance</w:t>
            </w:r>
            <w:r w:rsidR="00361833" w:rsidRPr="005C562F">
              <w:rPr>
                <w:color w:val="7F7F7F" w:themeColor="text1" w:themeTint="80"/>
                <w:sz w:val="20"/>
                <w:szCs w:val="20"/>
              </w:rPr>
              <w:t xml:space="preserve"> to Drugs:</w:t>
            </w:r>
          </w:p>
          <w:p w14:paraId="15CB1400" w14:textId="21205575" w:rsidR="00557A36" w:rsidRDefault="005723B0" w:rsidP="00354A16">
            <w:pPr>
              <w:widowControl w:val="0"/>
              <w:rPr>
                <w:color w:val="000000" w:themeColor="text1"/>
                <w:sz w:val="24"/>
                <w:szCs w:val="24"/>
              </w:rPr>
            </w:pPr>
            <w:r>
              <w:rPr>
                <w:color w:val="000000" w:themeColor="text1"/>
                <w:sz w:val="24"/>
                <w:szCs w:val="24"/>
              </w:rPr>
              <w:t/>
            </w:r>
            <w:r w:rsidR="00825595" w:rsidRPr="00713154">
              <w:rPr>
                <w:color w:val="000000" w:themeColor="text1"/>
                <w:sz w:val="2"/>
                <w:szCs w:val="2"/>
              </w:rPr>
              <w:t xml:space="preserve"> </w:t>
            </w:r>
            <w:r>
              <w:rPr>
                <w:sz w:val="24"/>
                <w:szCs w:val="24"/>
                <w:color w:val="70AD47"/>
              </w:rPr>
              <w:t xml:space="preserve">Tier I - Level A</w:t>
            </w:r>
            <w:proofErr w:type="spellStart"/>
            <w:r>
              <w:rPr>
                <w:color w:val="000000" w:themeColor="text1"/>
                <w:sz w:val="24"/>
                <w:szCs w:val="24"/>
              </w:rPr>
              <w:t/>
            </w:r>
            <w:proofErr w:type="spellEnd"/>
            <w:r>
              <w:rPr>
                <w:color w:val="000000" w:themeColor="text1"/>
                <w:sz w:val="24"/>
                <w:szCs w:val="24"/>
              </w:rPr>
              <w:t/>
            </w:r>
          </w:p>
          <w:p w14:paraId="47F4EFF3" w14:textId="77777777" w:rsidR="00557A36" w:rsidRDefault="00557A36" w:rsidP="00354A16">
            <w:pPr>
              <w:widowControl w:val="0"/>
              <w:rPr>
                <w:color w:val="000000" w:themeColor="text1"/>
                <w:sz w:val="24"/>
                <w:szCs w:val="24"/>
              </w:rPr>
            </w:pPr>
          </w:p>
          <w:p w14:paraId="29CF4EB9" w14:textId="08C07A4C" w:rsidR="0093769D" w:rsidRPr="00557A36" w:rsidRDefault="00557A36" w:rsidP="00354A16">
            <w:pPr>
              <w:widowControl w:val="0"/>
              <w:rPr>
                <w:color w:val="7F7F7F" w:themeColor="text1" w:themeTint="80"/>
                <w:sz w:val="20"/>
                <w:szCs w:val="20"/>
              </w:rPr>
            </w:pPr>
            <w:r>
              <w:rPr>
                <w:sz w:val="24"/>
                <w:szCs w:val="24"/>
              </w:rPr>
              <w:t xml:space="preserve">Afatinib</w:t>
            </w:r>
            <w:r>
              <w:br/>
            </w:r>
            <w:r>
              <w:rPr>
                <w:sz w:val="24"/>
                <w:szCs w:val="24"/>
              </w:rPr>
              <w:t xml:space="preserve">Dacomitinib</w:t>
            </w:r>
            <w:r>
              <w:br/>
            </w:r>
            <w:r>
              <w:rPr>
                <w:sz w:val="24"/>
                <w:szCs w:val="24"/>
              </w:rPr>
              <w:t xml:space="preserve">Erlotinib</w:t>
            </w:r>
            <w:r>
              <w:br/>
            </w:r>
            <w:r>
              <w:rPr>
                <w:sz w:val="24"/>
                <w:szCs w:val="24"/>
              </w:rPr>
              <w:t xml:space="preserve">Gefitinib</w:t>
            </w:r>
            <w:r w:rsidR="00C636F1">
              <w:rPr>
                <w:color w:val="000000" w:themeColor="text1"/>
                <w:sz w:val="24"/>
                <w:szCs w:val="24"/>
              </w:rPr>
              <w:t/>
            </w:r>
            <w:proofErr w:type="spellStart"/>
            <w:r>
              <w:rPr>
                <w:color w:val="000000" w:themeColor="text1"/>
                <w:sz w:val="24"/>
                <w:szCs w:val="24"/>
              </w:rPr>
              <w:t/>
            </w:r>
            <w:r w:rsidR="0027624C">
              <w:rPr>
                <w:color w:val="000000" w:themeColor="text1"/>
                <w:sz w:val="24"/>
                <w:szCs w:val="24"/>
              </w:rPr>
              <w:t/>
            </w:r>
            <w:proofErr w:type="spellEnd"/>
            <w:r>
              <w:rPr>
                <w:color w:val="000000" w:themeColor="text1"/>
                <w:sz w:val="24"/>
                <w:szCs w:val="24"/>
              </w:rPr>
              <w:t/>
            </w:r>
          </w:p>
          <w:p w14:paraId="78BD1B31" w14:textId="6509DF0D" w:rsidR="00430808" w:rsidRPr="0093769D" w:rsidRDefault="00430808" w:rsidP="00354A16">
            <w:pPr>
              <w:widowControl w:val="0"/>
              <w:rPr>
                <w:color w:val="000000" w:themeColor="text1"/>
                <w:sz w:val="24"/>
                <w:szCs w:val="24"/>
              </w:rPr>
            </w:pPr>
            <w:r>
              <w:rPr>
                <w:color w:val="000000" w:themeColor="text1"/>
                <w:sz w:val="24"/>
                <w:szCs w:val="24"/>
              </w:rPr>
              <w:t/>
            </w:r>
            <w:r w:rsidR="00D63E14">
              <w:rPr>
                <w:color w:val="000000" w:themeColor="text1"/>
                <w:sz w:val="24"/>
                <w:szCs w:val="24"/>
              </w:rPr>
              <w:t/>
            </w:r>
          </w:p>
          <w:p w14:paraId="3882E7B2" w14:textId="77777777" w:rsidR="00AD7764" w:rsidRDefault="00AD7764" w:rsidP="00AD7764">
            <w:pPr>
              <w:widowControl w:val="0"/>
              <w:rPr>
                <w:color w:val="7F7F7F" w:themeColor="text1" w:themeTint="80"/>
                <w:sz w:val="20"/>
                <w:szCs w:val="20"/>
              </w:rPr>
            </w:pPr>
          </w:p>
          <w:p w14:paraId="6D058F4B" w14:textId="7348521C" w:rsidR="00354A16" w:rsidRDefault="00354A16" w:rsidP="00AD7764">
            <w:pPr>
              <w:widowControl w:val="0"/>
              <w:rPr>
                <w:color w:val="7F7F7F" w:themeColor="text1" w:themeTint="80"/>
                <w:sz w:val="20"/>
                <w:szCs w:val="20"/>
              </w:rPr>
            </w:pPr>
            <w:r>
              <w:rPr>
                <w:color w:val="7F7F7F" w:themeColor="text1" w:themeTint="80"/>
                <w:sz w:val="20"/>
                <w:szCs w:val="20"/>
              </w:rPr>
              <w:t xml:space="preserve">Biomarker</w:t>
            </w:r>
            <w:r w:rsidR="00F17FCC">
              <w:rPr>
                <w:color w:val="7F7F7F" w:themeColor="text1" w:themeTint="80"/>
                <w:sz w:val="20"/>
                <w:szCs w:val="20"/>
              </w:rPr>
              <w:t xml:space="preserve">(s)</w:t>
            </w:r>
            <w:r>
              <w:rPr>
                <w:color w:val="7F7F7F" w:themeColor="text1" w:themeTint="80"/>
                <w:sz w:val="20"/>
                <w:szCs w:val="20"/>
              </w:rPr>
              <w:t xml:space="preserve">:</w:t>
            </w:r>
          </w:p>
          <w:p w14:paraId="60F73242" w14:textId="49336D4E" w:rsidR="00CA7568" w:rsidRPr="00B21E25" w:rsidRDefault="005723B0" w:rsidP="00AD7764">
            <w:pPr>
              <w:widowControl w:val="0"/>
              <w:rPr>
                <w:color w:val="000000" w:themeColor="text1"/>
                <w:sz w:val="24"/>
                <w:szCs w:val="24"/>
              </w:rPr>
            </w:pPr>
            <w:r>
              <w:rPr>
                <w:color w:val="000000" w:themeColor="text1"/>
                <w:sz w:val="24"/>
                <w:szCs w:val="24"/>
              </w:rPr>
              <w:t xml:space="preserve">EGFR T790M</w:t>
            </w:r>
            <w:proofErr w:type="spellStart"/>
            <w:r>
              <w:rPr>
                <w:color w:val="000000" w:themeColor="text1"/>
                <w:sz w:val="24"/>
                <w:szCs w:val="24"/>
              </w:rPr>
              <w:t/>
            </w:r>
            <w:proofErr w:type="spellEnd"/>
            <w:r>
              <w:rPr>
                <w:color w:val="000000" w:themeColor="text1"/>
                <w:sz w:val="24"/>
                <w:szCs w:val="24"/>
              </w:rPr>
              <w:t/>
            </w:r>
          </w:p>
        </w:tc>
        <w:tc>
          <w:tcPr>
            <w:tcW w:w="7233" w:type="dxa"/>
            <w:tcBorders>
              <w:top w:val="single" w:sz="4" w:space="0" w:color="auto"/>
              <w:bottom w:val="single" w:sz="4" w:space="0" w:color="auto"/>
            </w:tcBorders>
          </w:tcPr>
          <w:p w14:paraId="2939F7B9" w14:textId="77777777" w:rsidR="0093769D" w:rsidRPr="000A015C" w:rsidRDefault="0093769D" w:rsidP="0093769D">
            <w:pPr>
              <w:widowControl w:val="0"/>
              <w:rPr>
                <w:b/>
                <w:color w:val="262626" w:themeColor="text1" w:themeTint="D9"/>
                <w:sz w:val="20"/>
                <w:szCs w:val="20"/>
              </w:rPr>
            </w:pPr>
            <w:bookmarkStart w:id="6" w:name="_Hlk338067"/>
          </w:p>
          <w:p w14:paraId="693E412F" w14:textId="54E8D0E1" w:rsidR="0093769D" w:rsidRDefault="00647C0A" w:rsidP="0093769D">
            <w:pPr>
              <w:widowControl w:val="0"/>
              <w:rPr>
                <w:b/>
                <w:color w:val="262626" w:themeColor="text1" w:themeTint="D9"/>
                <w:sz w:val="20"/>
                <w:szCs w:val="20"/>
              </w:rPr>
            </w:pPr>
            <w:r>
              <w:rPr>
                <w:b/>
                <w:color w:val="262626" w:themeColor="text1" w:themeTint="D9"/>
                <w:sz w:val="20"/>
                <w:szCs w:val="20"/>
              </w:rPr>
              <w:t/>
            </w:r>
            <w:r w:rsidR="00C45B28">
              <w:rPr>
                <w:b/>
                <w:color w:val="262626" w:themeColor="text1" w:themeTint="D9"/>
                <w:sz w:val="20"/>
                <w:szCs w:val="20"/>
              </w:rPr>
              <w:t xml:space="preserve">EGFR T790M</w:t>
            </w:r>
            <w:r w:rsidR="00B21E25">
              <w:rPr>
                <w:b/>
                <w:color w:val="262626" w:themeColor="text1" w:themeTint="D9"/>
                <w:sz w:val="20"/>
                <w:szCs w:val="20"/>
              </w:rPr>
              <w:t xml:space="preserve"> </w:t>
            </w:r>
            <w:r w:rsidR="0093769D">
              <w:rPr>
                <w:b/>
                <w:color w:val="262626" w:themeColor="text1" w:themeTint="D9"/>
                <w:sz w:val="20"/>
                <w:szCs w:val="20"/>
              </w:rPr>
              <w:t xml:space="preserve">Drug Sensitivity</w:t>
            </w:r>
            <w:r w:rsidR="0093769D" w:rsidRPr="002F70CC">
              <w:rPr>
                <w:b/>
                <w:color w:val="262626" w:themeColor="text1" w:themeTint="D9"/>
                <w:sz w:val="20"/>
                <w:szCs w:val="20"/>
              </w:rPr>
              <w:t xml:space="preserve">:</w:t>
            </w:r>
          </w:p>
          <w:p w14:paraId="1457A61B" w14:textId="2F8C6D48" w:rsidR="0093769D" w:rsidRPr="005B70C4" w:rsidRDefault="00BD0C31" w:rsidP="0093769D">
            <w:pPr>
              <w:widowControl w:val="0"/>
              <w:rPr>
                <w:bCs/>
                <w:i/>
                <w:iCs/>
                <w:color w:val="262626" w:themeColor="text1" w:themeTint="D9"/>
                <w:sz w:val="20"/>
                <w:szCs w:val="20"/>
              </w:rPr>
            </w:pPr>
            <w:r>
              <w:rPr>
                <w:bCs/>
                <w:i/>
                <w:iCs/>
                <w:color w:val="262626" w:themeColor="text1" w:themeTint="D9"/>
                <w:sz w:val="20"/>
                <w:szCs w:val="20"/>
              </w:rPr>
              <w:t xml:space="preserve">Tier I - Level A</w:t>
            </w:r>
          </w:p>
          <w:p w14:paraId="018C2138" w14:textId="08699EE5" w:rsidR="0093769D" w:rsidRDefault="00BD0C31" w:rsidP="0093769D">
            <w:pPr>
              <w:rPr>
                <w:sz w:val="20"/>
                <w:szCs w:val="20"/>
              </w:rPr>
            </w:pPr>
            <w:r>
              <w:rPr>
                <w:sz w:val="20"/>
                <w:szCs w:val="20"/>
              </w:rPr>
              <w:t xml:space="preserve">Osimertinib (Tagrisso) is a third-generation EGFR tyrosine kinase inhibitor (TKI) that is active against several EGFR alterations, including Ex19del, p.L858R and the resistance mutation p.T790M (PMID: 24893891, 33392095). Osimertinib is the only FDA-approved EGFR TKI indicated for treating adult patients with metastatic non-small cell lung cancer (NSCLC) harboring</w:t>
            </w:r>
            <w:r>
              <w:rPr>
                <w:sz w:val="20"/>
                <w:szCs w:val="20"/>
                <w:i/>
              </w:rPr>
              <w:t xml:space="preserve"> EGFR p.T790M </w:t>
            </w:r>
            <w:r>
              <w:rPr>
                <w:sz w:val="20"/>
                <w:szCs w:val="20"/>
              </w:rPr>
              <w:t xml:space="preserve">mutations</w:t>
            </w:r>
            <w:r>
              <w:rPr>
                <w:sz w:val="20"/>
                <w:szCs w:val="20"/>
                <w:i/>
              </w:rPr>
              <w:t xml:space="preserve"> </w:t>
            </w:r>
            <w:r>
              <w:rPr>
                <w:sz w:val="20"/>
                <w:szCs w:val="20"/>
              </w:rPr>
              <w:t xml:space="preserve">whose disease has progressed on or after EGFR TKI therapy (PMID: 27959700, 30527177, 32861806). Relative to standard chemotherapy, osimertinib demonstrated superior response rates, prolonged median progression-free survival, and improved quality of life in </w:t>
            </w:r>
            <w:r>
              <w:rPr>
                <w:sz w:val="20"/>
                <w:szCs w:val="20"/>
                <w:i/>
              </w:rPr>
              <w:t xml:space="preserve">EGFR</w:t>
            </w:r>
            <w:r>
              <w:rPr>
                <w:sz w:val="20"/>
                <w:szCs w:val="20"/>
              </w:rPr>
              <w:t xml:space="preserve">-mutant advanced NSCLC patients previously treated with first- or second-generation EGFR TKIs, especially in patients whose tumors harbored the </w:t>
            </w:r>
            <w:r>
              <w:rPr>
                <w:sz w:val="20"/>
                <w:szCs w:val="20"/>
                <w:i/>
              </w:rPr>
              <w:t xml:space="preserve">EGFR p.T790M </w:t>
            </w:r>
            <w:r>
              <w:rPr>
                <w:sz w:val="20"/>
                <w:szCs w:val="20"/>
              </w:rPr>
              <w:t xml:space="preserve">resistance mutation (PMID: 25923549, 28221867, 27959700, 29151359, 29320658). </w:t>
            </w:r>
            <w:r w:rsidR="00A21B37">
              <w:rPr>
                <w:sz w:val="20"/>
                <w:szCs w:val="20"/>
              </w:rPr>
              <w:t/>
            </w:r>
            <w:r>
              <w:rPr>
                <w:sz w:val="20"/>
                <w:szCs w:val="20"/>
              </w:rPr>
              <w:t/>
            </w:r>
          </w:p>
          <w:p w14:paraId="77E318CA" w14:textId="10B37543" w:rsidR="0093769D" w:rsidRDefault="00BD0C31" w:rsidP="0093769D">
            <w:r>
              <w:t xml:space="preserve">Tier I - Level A</w:t>
            </w:r>
          </w:p>
          <w:p w14:paraId="018C2138" w14:textId="08699EE5" w:rsidR="0093769D" w:rsidRDefault="00BD0C31" w:rsidP="0093769D">
            <w:pPr>
              <w:rPr>
                <w:sz w:val="20"/>
                <w:szCs w:val="20"/>
              </w:rPr>
            </w:pPr>
            <w:r>
              <w:rPr>
                <w:sz w:val="20"/>
                <w:szCs w:val="20"/>
              </w:rPr>
              <w:t xml:space="preserve">Osimertinib (Tagrisso) is a third-generation EGFR tyrosine kinase inhibitor (TKI) that is active against several EGFR alterations, including Ex19del, p.L858R and the resistance mutation p.T790M (PMID: 24893891, 33392095). Osimertinib is the only FDA-approved EGFR TKI indicated for treating adult patients with metastatic non-small cell lung cancer (NSCLC) harboring</w:t>
            </w:r>
            <w:r>
              <w:rPr>
                <w:sz w:val="20"/>
                <w:szCs w:val="20"/>
                <w:i/>
              </w:rPr>
              <w:t xml:space="preserve"> EGFR p.T790M </w:t>
            </w:r>
            <w:r>
              <w:rPr>
                <w:sz w:val="20"/>
                <w:szCs w:val="20"/>
              </w:rPr>
              <w:t xml:space="preserve">mutations</w:t>
            </w:r>
            <w:r>
              <w:rPr>
                <w:sz w:val="20"/>
                <w:szCs w:val="20"/>
                <w:i/>
              </w:rPr>
              <w:t xml:space="preserve"> </w:t>
            </w:r>
            <w:r>
              <w:rPr>
                <w:sz w:val="20"/>
                <w:szCs w:val="20"/>
              </w:rPr>
              <w:t xml:space="preserve">whose disease has progressed on or after EGFR TKI therapy (PMID: 27959700, 30527177, 32861806). Relative to standard chemotherapy, osimertinib demonstrated superior response rates, prolonged median progression-free survival, and improved quality of life in </w:t>
            </w:r>
            <w:r>
              <w:rPr>
                <w:sz w:val="20"/>
                <w:szCs w:val="20"/>
                <w:i/>
              </w:rPr>
              <w:t xml:space="preserve">EGFR</w:t>
            </w:r>
            <w:r>
              <w:rPr>
                <w:sz w:val="20"/>
                <w:szCs w:val="20"/>
              </w:rPr>
              <w:t xml:space="preserve">-mutant advanced NSCLC patients previously treated with first- or second-generation EGFR TKIs, especially in patients whose tumors harbored the </w:t>
            </w:r>
            <w:r>
              <w:rPr>
                <w:sz w:val="20"/>
                <w:szCs w:val="20"/>
                <w:i/>
              </w:rPr>
              <w:t xml:space="preserve">EGFR p.T790M </w:t>
            </w:r>
            <w:r>
              <w:rPr>
                <w:sz w:val="20"/>
                <w:szCs w:val="20"/>
              </w:rPr>
              <w:t xml:space="preserve">resistance mutation (PMID: 25923549, 28221867, 27959700, 29151359, 29320658). </w:t>
            </w:r>
            <w:r w:rsidR="00A21B37">
              <w:rPr>
                <w:sz w:val="20"/>
                <w:szCs w:val="20"/>
              </w:rPr>
              <w:t/>
            </w:r>
            <w:r>
              <w:rPr>
                <w:sz w:val="20"/>
                <w:szCs w:val="20"/>
              </w:rPr>
              <w:t/>
            </w:r>
          </w:p>
          <w:p w14:paraId="77E318CA" w14:textId="10B37543" w:rsidR="0093769D" w:rsidRDefault="00BD0C31" w:rsidP="0093769D">
            <w:r>
              <w:t/>
            </w:r>
          </w:p>
          <w:p w14:paraId="5E3AE71B" w14:textId="7B63D9C2" w:rsidR="0093769D" w:rsidRDefault="00647C0A" w:rsidP="0093769D">
            <w:pPr>
              <w:widowControl w:val="0"/>
              <w:rPr>
                <w:b/>
                <w:color w:val="262626" w:themeColor="text1" w:themeTint="D9"/>
                <w:sz w:val="20"/>
                <w:szCs w:val="20"/>
              </w:rPr>
            </w:pPr>
            <w:r>
              <w:rPr>
                <w:b/>
                <w:color w:val="262626" w:themeColor="text1" w:themeTint="D9"/>
                <w:sz w:val="20"/>
                <w:szCs w:val="20"/>
              </w:rPr>
              <w:t/>
            </w:r>
            <w:r w:rsidR="00FC1812">
              <w:rPr>
                <w:b/>
                <w:color w:val="262626" w:themeColor="text1" w:themeTint="D9"/>
                <w:sz w:val="20"/>
                <w:szCs w:val="20"/>
              </w:rPr>
              <w:t xml:space="preserve">EGFR T790M</w:t>
            </w:r>
            <w:r w:rsidR="00B21E25">
              <w:rPr>
                <w:b/>
                <w:color w:val="262626" w:themeColor="text1" w:themeTint="D9"/>
                <w:sz w:val="20"/>
                <w:szCs w:val="20"/>
              </w:rPr>
              <w:t xml:space="preserve"> </w:t>
            </w:r>
            <w:r w:rsidR="0093769D">
              <w:rPr>
                <w:b/>
                <w:color w:val="262626" w:themeColor="text1" w:themeTint="D9"/>
                <w:sz w:val="20"/>
                <w:szCs w:val="20"/>
              </w:rPr>
              <w:t xml:space="preserve">Drug Resistance:</w:t>
            </w:r>
          </w:p>
          <w:p w14:paraId="610B3ED3" w14:textId="034218F5" w:rsidR="00FC1812" w:rsidRPr="005B70C4" w:rsidRDefault="00FC1812" w:rsidP="00FC1812">
            <w:pPr>
              <w:widowControl w:val="0"/>
              <w:rPr>
                <w:bCs/>
                <w:i/>
                <w:iCs/>
                <w:color w:val="262626" w:themeColor="text1" w:themeTint="D9"/>
                <w:sz w:val="20"/>
                <w:szCs w:val="20"/>
              </w:rPr>
            </w:pPr>
            <w:r>
              <w:rPr>
                <w:bCs/>
                <w:i/>
                <w:iCs/>
                <w:color w:val="262626" w:themeColor="text1" w:themeTint="D9"/>
                <w:sz w:val="20"/>
                <w:szCs w:val="20"/>
              </w:rPr>
              <w:t xml:space="preserve">Tier I - Level A</w:t>
            </w:r>
          </w:p>
          <w:p w14:paraId="07761B58" w14:textId="77777777" w:rsidR="00FC1812" w:rsidRDefault="00FC1812" w:rsidP="00FC1812">
            <w:pPr>
              <w:rPr>
                <w:sz w:val="20"/>
                <w:szCs w:val="20"/>
              </w:rPr>
            </w:pPr>
            <w:r>
              <w:rPr>
                <w:sz w:val="20"/>
                <w:szCs w:val="20"/>
              </w:rPr>
              <w:t xml:space="preserve">Erlotinib (Tarceva), gefitinib (Iressa), afatinib (Gilotrif), and dacomitinib (Vizimpro) are first- and second-generation EGFR tyrosine kinase inhibitors (TKIs) that are FDA approved as first-line treatment options for patients with metastatic non-small cell lung cancer (NSCLC) with </w:t>
            </w:r>
            <w:r>
              <w:rPr>
                <w:sz w:val="20"/>
                <w:szCs w:val="20"/>
                <w:i/>
              </w:rPr>
              <w:t xml:space="preserve">EGFR</w:t>
            </w:r>
            <w:r>
              <w:rPr>
                <w:sz w:val="20"/>
                <w:szCs w:val="20"/>
              </w:rPr>
              <w:t xml:space="preserve"> Ex19del or p.L858R substitution mutations. Acquired resistance occurs in virtually all NSCLC patients who initially respond to first- or second-generation EGFR TKI therapy. The </w:t>
            </w:r>
            <w:r>
              <w:rPr>
                <w:sz w:val="20"/>
                <w:szCs w:val="20"/>
                <w:i/>
              </w:rPr>
              <w:t xml:space="preserve">EGFR</w:t>
            </w:r>
            <w:r>
              <w:rPr>
                <w:sz w:val="20"/>
                <w:szCs w:val="20"/>
              </w:rPr>
              <w:t xml:space="preserve"> p.T790M gatekeeper mutation confers resistance to first- and second-generation EGFR TKIs and is the most common mechanism of acquired resistance in NSCLC, occurring in approximately 60% of NSCLC patients who progress or relapse on first-line therapy (PMID: 23470965, 28149837).</w:t>
            </w:r>
          </w:p>
          <w:p w14:paraId="28D407DC" w14:textId="5903A7A7" w:rsidR="0093769D" w:rsidRPr="0093769D" w:rsidRDefault="00FC1812" w:rsidP="00FC1812">
            <w:r>
              <w:t/>
            </w:r>
          </w:p>
          <w:p w14:paraId="1C04CF33" w14:textId="43EEB1DE" w:rsidR="00974465" w:rsidRDefault="00A76F49" w:rsidP="00974465">
            <w:pPr>
              <w:widowControl w:val="0"/>
              <w:spacing w:before="240"/>
              <w:rPr>
                <w:b/>
                <w:color w:val="262626" w:themeColor="text1" w:themeTint="D9"/>
                <w:sz w:val="20"/>
                <w:szCs w:val="20"/>
              </w:rPr>
            </w:pPr>
            <w:r>
              <w:rPr>
                <w:b/>
                <w:color w:val="262626" w:themeColor="text1" w:themeTint="D9"/>
                <w:sz w:val="20"/>
                <w:szCs w:val="20"/>
              </w:rPr>
              <w:t/>
            </w:r>
            <w:r w:rsidR="009F50D7">
              <w:rPr>
                <w:b/>
                <w:color w:val="262626" w:themeColor="text1" w:themeTint="D9"/>
                <w:sz w:val="20"/>
                <w:szCs w:val="20"/>
              </w:rPr>
              <w:t xml:space="preserve">EGFR T790M</w:t>
            </w:r>
            <w:r w:rsidR="00974465">
              <w:rPr>
                <w:b/>
                <w:color w:val="262626" w:themeColor="text1" w:themeTint="D9"/>
                <w:sz w:val="20"/>
                <w:szCs w:val="20"/>
              </w:rPr>
              <w:t xml:space="preserve"> Biomarker Summary</w:t>
            </w:r>
            <w:r w:rsidR="00974465" w:rsidRPr="002F70CC">
              <w:rPr>
                <w:b/>
                <w:color w:val="262626" w:themeColor="text1" w:themeTint="D9"/>
                <w:sz w:val="20"/>
                <w:szCs w:val="20"/>
              </w:rPr>
              <w:t xml:space="preserve">:</w:t>
            </w:r>
          </w:p>
          <w:p w14:paraId="7BD0823D" w14:textId="24DC70CA" w:rsidR="0093769D" w:rsidRDefault="009F50D7" w:rsidP="00974465">
            <w:pPr>
              <w:rPr>
                <w:sz w:val="20"/>
                <w:szCs w:val="20"/>
              </w:rPr>
            </w:pPr>
            <w:r>
              <w:rPr>
                <w:sz w:val="20"/>
                <w:szCs w:val="20"/>
                <w:i/>
              </w:rPr>
              <w:t xml:space="preserve">EGFR</w:t>
            </w:r>
            <w:r>
              <w:rPr>
                <w:sz w:val="20"/>
                <w:szCs w:val="20"/>
              </w:rPr>
              <w:t xml:space="preserve"> p.T790M is an exon 20 missense mutation that is associated with acquired resistance to EGFR tyrosine kinase inhibitor (TKI) therapy in non-small cell lung cancer (NSCLC). </w:t>
            </w:r>
            <w:r>
              <w:rPr>
                <w:sz w:val="20"/>
                <w:szCs w:val="20"/>
                <w:i/>
              </w:rPr>
              <w:t xml:space="preserve">EGFR</w:t>
            </w:r>
            <w:r>
              <w:rPr>
                <w:sz w:val="20"/>
                <w:szCs w:val="20"/>
              </w:rPr>
              <w:t xml:space="preserve"> p.T790M has been reported as an acquired mutation in approximately 60% of NSCLC patients with disease progression after initial response to first- or second-generation EGFR TKIs (PMID: 25979928, 23470965, 25271963, 24101047, 15737014, 17020982, 19589612). Within the EGFR ATP binding pocket, codon Thr790 represents a “gatekeeper” residue that regulates TKI binding. The precise mechanisms of </w:t>
            </w:r>
            <w:r>
              <w:rPr>
                <w:sz w:val="20"/>
                <w:szCs w:val="20"/>
                <w:i/>
              </w:rPr>
              <w:t xml:space="preserve">EGFR</w:t>
            </w:r>
            <w:r>
              <w:rPr>
                <w:sz w:val="20"/>
                <w:szCs w:val="20"/>
              </w:rPr>
              <w:t xml:space="preserve"> p.T790M resistance remain unclear, although preclinical studies suggest that this mutation confers TKI resistance by increasing EGFR affinity for ATP and/or sterically hindering TKI binding to EGFR (PMID: 18227510, 15728811, 15897464, 17020982). The </w:t>
            </w:r>
            <w:r>
              <w:rPr>
                <w:sz w:val="20"/>
                <w:szCs w:val="20"/>
                <w:i/>
              </w:rPr>
              <w:t xml:space="preserve">EGFR</w:t>
            </w:r>
            <w:r>
              <w:rPr>
                <w:sz w:val="20"/>
                <w:szCs w:val="20"/>
              </w:rPr>
              <w:t xml:space="preserve"> p.T790M mutation is generally detected together with </w:t>
            </w:r>
            <w:r>
              <w:rPr>
                <w:sz w:val="20"/>
                <w:szCs w:val="20"/>
                <w:i/>
              </w:rPr>
              <w:t xml:space="preserve">EGFR</w:t>
            </w:r>
            <w:r>
              <w:rPr>
                <w:sz w:val="20"/>
                <w:szCs w:val="20"/>
              </w:rPr>
              <w:t xml:space="preserve"> sensitizing mutations such as exon 19 deletions (Ex19del) or p.L858R (PMID: 31562956, 30108370). In very rare cases (~0.5% of never-smokers with NSCLC), </w:t>
            </w:r>
            <w:r>
              <w:rPr>
                <w:sz w:val="20"/>
                <w:szCs w:val="20"/>
                <w:i/>
              </w:rPr>
              <w:t xml:space="preserve">EGFR</w:t>
            </w:r>
            <w:r>
              <w:rPr>
                <w:sz w:val="20"/>
                <w:szCs w:val="20"/>
              </w:rPr>
              <w:t xml:space="preserve"> p.T790M has been identified in treatment-naïve NSCLC patients; in this context, </w:t>
            </w:r>
            <w:r>
              <w:rPr>
                <w:sz w:val="20"/>
                <w:szCs w:val="20"/>
                <w:i/>
              </w:rPr>
              <w:t xml:space="preserve">EGFR</w:t>
            </w:r>
            <w:r>
              <w:rPr>
                <w:sz w:val="20"/>
                <w:szCs w:val="20"/>
              </w:rPr>
              <w:t xml:space="preserve"> p.T790M may be a germline mutation that is associated with predisposition to familial lung cancer (PMID: 16258541, 22588155, 24736066).</w:t>
            </w:r>
            <w:r w:rsidR="00E90056">
              <w:rPr>
                <w:sz w:val="20"/>
                <w:szCs w:val="20"/>
              </w:rPr>
              <w:t/>
            </w:r>
            <w:proofErr w:type="spellStart"/>
            <w:r>
              <w:rPr>
                <w:sz w:val="20"/>
                <w:szCs w:val="20"/>
              </w:rPr>
              <w:t/>
            </w:r>
            <w:proofErr w:type="spellEnd"/>
            <w:r>
              <w:rPr>
                <w:sz w:val="20"/>
                <w:szCs w:val="20"/>
              </w:rPr>
              <w:t/>
            </w:r>
          </w:p>
          <w:p w14:paraId="661E3775" w14:textId="77777777" w:rsidR="009F50D7" w:rsidRDefault="009F50D7" w:rsidP="00974465">
            <w:pPr>
              <w:rPr>
                <w:sz w:val="20"/>
                <w:szCs w:val="20"/>
              </w:rPr>
            </w:pPr>
          </w:p>
          <w:p w14:paraId="1FFA7E7E" w14:textId="77777777" w:rsidR="0071181B" w:rsidRDefault="009F50D7" w:rsidP="0093769D">
            <w:pPr>
              <w:widowControl w:val="0"/>
              <w:rPr>
                <w:b/>
                <w:color w:val="262626" w:themeColor="text1" w:themeTint="D9"/>
                <w:sz w:val="20"/>
                <w:szCs w:val="20"/>
              </w:rPr>
            </w:pPr>
            <w:r>
              <w:rPr>
                <w:b/>
                <w:color w:val="262626" w:themeColor="text1" w:themeTint="D9"/>
                <w:sz w:val="20"/>
                <w:szCs w:val="20"/>
              </w:rPr>
              <w:t/>
            </w:r>
            <w:r w:rsidR="0071181B">
              <w:rPr>
                <w:b/>
                <w:color w:val="262626" w:themeColor="text1" w:themeTint="D9"/>
                <w:sz w:val="20"/>
                <w:szCs w:val="20"/>
              </w:rPr>
              <w:t/>
            </w:r>
            <w:r w:rsidR="00C7638A">
              <w:rPr>
                <w:b/>
                <w:color w:val="262626" w:themeColor="text1" w:themeTint="D9"/>
                <w:sz w:val="20"/>
                <w:szCs w:val="20"/>
              </w:rPr>
              <w:t/>
            </w:r>
            <w:r w:rsidR="00E90056">
              <w:rPr>
                <w:b/>
                <w:color w:val="262626" w:themeColor="text1" w:themeTint="D9"/>
                <w:sz w:val="20"/>
                <w:szCs w:val="20"/>
              </w:rPr>
              <w:t/>
            </w:r>
            <w:r w:rsidR="0093769D" w:rsidRPr="00BC7E63">
              <w:rPr>
                <w:b/>
                <w:color w:val="262626" w:themeColor="text1" w:themeTint="D9"/>
                <w:sz w:val="20"/>
                <w:szCs w:val="20"/>
              </w:rPr>
              <w:t xml:space="preserve">Technical Data</w:t>
            </w:r>
            <w:r w:rsidR="0093769D">
              <w:rPr>
                <w:b/>
                <w:color w:val="262626" w:themeColor="text1" w:themeTint="D9"/>
                <w:sz w:val="20"/>
                <w:szCs w:val="20"/>
              </w:rPr>
              <w:t xml:space="preserve"> for </w:t>
            </w:r>
            <w:r w:rsidR="00E90056">
              <w:rPr>
                <w:b/>
                <w:color w:val="262626" w:themeColor="text1" w:themeTint="D9"/>
                <w:sz w:val="20"/>
                <w:szCs w:val="20"/>
              </w:rPr>
              <w:t xml:space="preserve">EGFR T790M</w:t>
            </w:r>
            <w:proofErr w:type="spellStart"/>
            <w:r w:rsidR="00E90056">
              <w:rPr>
                <w:b/>
                <w:color w:val="262626" w:themeColor="text1" w:themeTint="D9"/>
                <w:sz w:val="20"/>
                <w:szCs w:val="20"/>
              </w:rPr>
              <w:t/>
            </w:r>
            <w:proofErr w:type="spellEnd"/>
            <w:r w:rsidR="00E90056">
              <w:rPr>
                <w:b/>
                <w:color w:val="262626" w:themeColor="text1" w:themeTint="D9"/>
                <w:sz w:val="20"/>
                <w:szCs w:val="20"/>
              </w:rPr>
              <w:t/>
            </w:r>
            <w:r w:rsidR="0093769D" w:rsidRPr="00BC7E63">
              <w:rPr>
                <w:b/>
                <w:color w:val="262626" w:themeColor="text1" w:themeTint="D9"/>
                <w:sz w:val="20"/>
                <w:szCs w:val="20"/>
              </w:rPr>
              <w:t xml:space="preserv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2"/>
              <w:gridCol w:w="4131"/>
            </w:tblGrid>
            <w:tr w:rsidR="00E90056" w14:paraId="1751E331" w14:textId="77777777" w:rsidTr="00E90056">
              <w:tc>
                <w:tcPr>
                  <w:tcW w:w="2872" w:type="dxa"/>
                </w:tcPr>
                <w:p w14:paraId="700B2A35" w14:textId="22EDDBF3" w:rsidR="00E90056" w:rsidRPr="00F022FA" w:rsidRDefault="00E90056" w:rsidP="00E90056">
                  <w:pPr>
                    <w:widowControl w:val="0"/>
                    <w:ind w:left="-34"/>
                    <w:rPr>
                      <w:color w:val="595959" w:themeColor="text1" w:themeTint="A6"/>
                      <w:sz w:val="20"/>
                      <w:szCs w:val="20"/>
                    </w:rPr>
                  </w:pPr>
                  <w:r>
                    <w:rPr>
                      <w:color w:val="595959" w:themeColor="text1" w:themeTint="A6"/>
                      <w:sz w:val="20"/>
                      <w:szCs w:val="20"/>
                    </w:rPr>
                    <w:t/>
                  </w:r>
                  <w:r w:rsidRPr="00F022FA">
                    <w:rPr>
                      <w:color w:val="595959" w:themeColor="text1" w:themeTint="A6"/>
                      <w:sz w:val="20"/>
                      <w:szCs w:val="20"/>
                    </w:rPr>
                    <w:t xml:space="preserve">Transcript and Coding Change</w:t>
                  </w:r>
                </w:p>
              </w:tc>
              <w:tc>
                <w:tcPr>
                  <w:tcW w:w="4131" w:type="dxa"/>
                </w:tcPr>
                <w:p w14:paraId="775F1FBF" w14:textId="35D89618" w:rsidR="00E90056" w:rsidRDefault="00E90056" w:rsidP="00E90056">
                  <w:pPr>
                    <w:widowControl w:val="0"/>
                    <w:rPr>
                      <w:color w:val="7F7F7F" w:themeColor="text1" w:themeTint="80"/>
                      <w:sz w:val="20"/>
                      <w:szCs w:val="20"/>
                    </w:rPr>
                  </w:pPr>
                  <w:r w:rsidRPr="007727B5">
                    <w:rPr>
                      <w:color w:val="000000" w:themeColor="text1"/>
                      <w:sz w:val="20"/>
                      <w:szCs w:val="20"/>
                    </w:rPr>
                    <w:t xml:space="preserve">NM_005228.5:c.2369C&gt;T (p.Thr790Met)</w:t>
                  </w:r>
                  <w:proofErr w:type="spellStart"/>
                  <w:r>
                    <w:rPr>
                      <w:color w:val="000000" w:themeColor="text1"/>
                      <w:sz w:val="20"/>
                      <w:szCs w:val="20"/>
                    </w:rPr>
                    <w:t/>
                  </w:r>
                  <w:proofErr w:type="spellEnd"/>
                  <w:r>
                    <w:rPr>
                      <w:color w:val="000000" w:themeColor="text1"/>
                      <w:sz w:val="20"/>
                      <w:szCs w:val="20"/>
                    </w:rPr>
                    <w:t/>
                  </w:r>
                </w:p>
              </w:tc>
            </w:tr>
            <w:tr w:rsidR="00E90056" w14:paraId="22EA8C10" w14:textId="77777777" w:rsidTr="00E90056">
              <w:tc>
                <w:tcPr>
                  <w:tcW w:w="2872" w:type="dxa"/>
                </w:tcPr>
                <w:p w14:paraId="3B858B91" w14:textId="7507DB55" w:rsidR="00E90056" w:rsidRPr="00F022FA" w:rsidRDefault="00E90056" w:rsidP="00E90056">
                  <w:pPr>
                    <w:widowControl w:val="0"/>
                    <w:ind w:left="-34"/>
                    <w:rPr>
                      <w:color w:val="595959" w:themeColor="text1" w:themeTint="A6"/>
                      <w:sz w:val="20"/>
                      <w:szCs w:val="20"/>
                    </w:rPr>
                  </w:pPr>
                  <w:r>
                    <w:rPr>
                      <w:color w:val="595959" w:themeColor="text1" w:themeTint="A6"/>
                      <w:sz w:val="20"/>
                      <w:szCs w:val="20"/>
                    </w:rPr>
                    <w:t xml:space="preserve">Location</w:t>
                  </w:r>
                </w:p>
              </w:tc>
              <w:tc>
                <w:tcPr>
                  <w:tcW w:w="4131" w:type="dxa"/>
                </w:tcPr>
                <w:p w14:paraId="0D481F6F" w14:textId="5646C1EF" w:rsidR="00E90056" w:rsidRPr="007727B5" w:rsidRDefault="00E90056" w:rsidP="00E90056">
                  <w:pPr>
                    <w:widowControl w:val="0"/>
                    <w:rPr>
                      <w:color w:val="000000" w:themeColor="text1"/>
                      <w:sz w:val="20"/>
                      <w:szCs w:val="20"/>
                    </w:rPr>
                  </w:pPr>
                  <w:r>
                    <w:rPr>
                      <w:color w:val="000000" w:themeColor="text1"/>
                      <w:sz w:val="20"/>
                      <w:szCs w:val="20"/>
                    </w:rPr>
                    <w:t xml:space="preserve">7:55249071</w:t>
                  </w:r>
                  <w:r w:rsidRPr="00EF6E2C">
                    <w:rPr>
                      <w:color w:val="000000" w:themeColor="text1"/>
                      <w:sz w:val="20"/>
                      <w:szCs w:val="20"/>
                    </w:rPr>
                    <w:t/>
                  </w:r>
                </w:p>
              </w:tc>
            </w:tr>
            <w:tr w:rsidR="00E90056" w14:paraId="286C1D23" w14:textId="77777777" w:rsidTr="00E90056">
              <w:tc>
                <w:tcPr>
                  <w:tcW w:w="2872" w:type="dxa"/>
                </w:tcPr>
                <w:p w14:paraId="1B0C1822" w14:textId="2D31C0E8" w:rsidR="00E90056" w:rsidRDefault="00E90056" w:rsidP="00E90056">
                  <w:pPr>
                    <w:widowControl w:val="0"/>
                    <w:ind w:left="-34"/>
                    <w:rPr>
                      <w:color w:val="595959" w:themeColor="text1" w:themeTint="A6"/>
                      <w:sz w:val="20"/>
                      <w:szCs w:val="20"/>
                    </w:rPr>
                  </w:pPr>
                  <w:r>
                    <w:rPr>
                      <w:color w:val="595959" w:themeColor="text1" w:themeTint="A6"/>
                      <w:sz w:val="20"/>
                      <w:szCs w:val="20"/>
                    </w:rPr>
                    <w:t xml:space="preserve">Human Genome (GRCh37)</w:t>
                  </w:r>
                </w:p>
              </w:tc>
              <w:tc>
                <w:tcPr>
                  <w:tcW w:w="4131" w:type="dxa"/>
                </w:tcPr>
                <w:p w14:paraId="3A068D6B" w14:textId="476D761D" w:rsidR="00E90056" w:rsidRDefault="009632FD" w:rsidP="00E90056">
                  <w:pPr>
                    <w:widowControl w:val="0"/>
                    <w:rPr>
                      <w:color w:val="000000" w:themeColor="text1"/>
                      <w:sz w:val="20"/>
                      <w:szCs w:val="20"/>
                    </w:rPr>
                  </w:pPr>
                  <w:r>
                    <w:rPr>
                      <w:color w:val="000000" w:themeColor="text1"/>
                      <w:sz w:val="20"/>
                      <w:szCs w:val="20"/>
                    </w:rPr>
                    <w:t/>
                  </w:r>
                  <w:r w:rsidR="00E90056">
                    <w:rPr>
                      <w:color w:val="000000" w:themeColor="text1"/>
                      <w:sz w:val="20"/>
                      <w:szCs w:val="20"/>
                    </w:rPr>
                    <w:t xml:space="preserve">NC_000007.13: </w:t>
                  </w:r>
                  <w:r>
                    <w:rPr>
                      <w:color w:val="000000" w:themeColor="text1"/>
                      <w:sz w:val="20"/>
                      <w:szCs w:val="20"/>
                    </w:rPr>
                    <w:t/>
                  </w:r>
                  <w:r w:rsidR="00E90056">
                    <w:rPr>
                      <w:color w:val="000000" w:themeColor="text1"/>
                      <w:sz w:val="20"/>
                      <w:szCs w:val="20"/>
                    </w:rPr>
                    <w:t xml:space="preserve">g.55249071C&gt;T</w:t>
                  </w:r>
                  <w:proofErr w:type="spellStart"/>
                  <w:r w:rsidR="00E90056">
                    <w:rPr>
                      <w:color w:val="000000" w:themeColor="text1"/>
                      <w:sz w:val="20"/>
                      <w:szCs w:val="20"/>
                    </w:rPr>
                    <w:t/>
                  </w:r>
                  <w:proofErr w:type="spellEnd"/>
                  <w:r w:rsidR="00E90056">
                    <w:rPr>
                      <w:color w:val="000000" w:themeColor="text1"/>
                      <w:sz w:val="20"/>
                      <w:szCs w:val="20"/>
                    </w:rPr>
                    <w:t/>
                  </w:r>
                </w:p>
              </w:tc>
            </w:tr>
            <w:tr w:rsidR="00E90056" w14:paraId="339BEA02" w14:textId="77777777" w:rsidTr="00E90056">
              <w:tc>
                <w:tcPr>
                  <w:tcW w:w="2872" w:type="dxa"/>
                </w:tcPr>
                <w:p w14:paraId="56A68455" w14:textId="39F4CA2C" w:rsidR="00E90056" w:rsidRDefault="00E90056" w:rsidP="00E90056">
                  <w:pPr>
                    <w:widowControl w:val="0"/>
                    <w:ind w:left="-34"/>
                    <w:rPr>
                      <w:color w:val="595959" w:themeColor="text1" w:themeTint="A6"/>
                      <w:sz w:val="20"/>
                      <w:szCs w:val="20"/>
                    </w:rPr>
                  </w:pPr>
                  <w:r>
                    <w:rPr>
                      <w:color w:val="595959" w:themeColor="text1" w:themeTint="A6"/>
                      <w:sz w:val="20"/>
                      <w:szCs w:val="20"/>
                    </w:rPr>
                    <w:t xml:space="preserve">Human Genome (GRCh38</w:t>
                  </w:r>
                  <w:proofErr w:type="spellStart"/>
                  <w:r>
                    <w:rPr>
                      <w:color w:val="595959" w:themeColor="text1" w:themeTint="A6"/>
                      <w:sz w:val="20"/>
                      <w:szCs w:val="20"/>
                    </w:rPr>
                    <w:t/>
                  </w:r>
                  <w:proofErr w:type="spellEnd"/>
                  <w:r>
                    <w:rPr>
                      <w:color w:val="595959" w:themeColor="text1" w:themeTint="A6"/>
                      <w:sz w:val="20"/>
                      <w:szCs w:val="20"/>
                    </w:rPr>
                    <w:t xml:space="preserve">)</w:t>
                  </w:r>
                </w:p>
              </w:tc>
              <w:tc>
                <w:tcPr>
                  <w:tcW w:w="4131" w:type="dxa"/>
                </w:tcPr>
                <w:p w14:paraId="4D2F88B2" w14:textId="42D308C9" w:rsidR="00E90056" w:rsidRDefault="00E90056" w:rsidP="00E90056">
                  <w:pPr>
                    <w:widowControl w:val="0"/>
                    <w:rPr>
                      <w:color w:val="000000" w:themeColor="text1"/>
                      <w:sz w:val="20"/>
                      <w:szCs w:val="20"/>
                    </w:rPr>
                  </w:pPr>
                  <w:r>
                    <w:rPr>
                      <w:color w:val="000000" w:themeColor="text1"/>
                      <w:sz w:val="20"/>
                      <w:szCs w:val="20"/>
                    </w:rPr>
                    <w:t xml:space="preserve">NC_000007.14</w:t>
                  </w:r>
                  <w:proofErr w:type="spellStart"/>
                  <w:r>
                    <w:rPr>
                      <w:color w:val="000000" w:themeColor="text1"/>
                      <w:sz w:val="20"/>
                      <w:szCs w:val="20"/>
                    </w:rPr>
                    <w:t/>
                  </w:r>
                  <w:proofErr w:type="spellEnd"/>
                  <w:r>
                    <w:rPr>
                      <w:color w:val="000000" w:themeColor="text1"/>
                      <w:sz w:val="20"/>
                      <w:szCs w:val="20"/>
                    </w:rPr>
                    <w:t xml:space="preserve">: g.55181378C&gt;T</w:t>
                  </w:r>
                  <w:proofErr w:type="spellStart"/>
                  <w:r>
                    <w:rPr>
                      <w:color w:val="000000" w:themeColor="text1"/>
                      <w:sz w:val="20"/>
                      <w:szCs w:val="20"/>
                    </w:rPr>
                    <w:t/>
                  </w:r>
                  <w:proofErr w:type="spellEnd"/>
                  <w:r>
                    <w:rPr>
                      <w:color w:val="000000" w:themeColor="text1"/>
                      <w:sz w:val="20"/>
                      <w:szCs w:val="20"/>
                    </w:rPr>
                    <w:t/>
                  </w:r>
                </w:p>
              </w:tc>
            </w:tr>
            <w:tr w:rsidR="00E90056" w14:paraId="04FDE008" w14:textId="77777777" w:rsidTr="00E90056">
              <w:tc>
                <w:tcPr>
                  <w:tcW w:w="2872" w:type="dxa"/>
                </w:tcPr>
                <w:p w14:paraId="7F6D244B" w14:textId="1447CB39" w:rsidR="00E90056" w:rsidRPr="00F022FA" w:rsidRDefault="00E90056" w:rsidP="00E90056">
                  <w:pPr>
                    <w:widowControl w:val="0"/>
                    <w:ind w:left="-34"/>
                    <w:rPr>
                      <w:color w:val="595959" w:themeColor="text1" w:themeTint="A6"/>
                      <w:sz w:val="20"/>
                      <w:szCs w:val="20"/>
                    </w:rPr>
                  </w:pPr>
                  <w:r>
                    <w:rPr>
                      <w:color w:val="595959" w:themeColor="text1" w:themeTint="A6"/>
                      <w:sz w:val="20"/>
                      <w:szCs w:val="20"/>
                    </w:rPr>
                    <w:t/>
                  </w:r>
                  <w:r w:rsidRPr="00F022FA">
                    <w:rPr>
                      <w:color w:val="595959" w:themeColor="text1" w:themeTint="A6"/>
                      <w:sz w:val="20"/>
                      <w:szCs w:val="20"/>
                    </w:rPr>
                    <w:t xml:space="preserve">dbSNP Identifier</w:t>
                  </w:r>
                </w:p>
              </w:tc>
              <w:tc>
                <w:tcPr>
                  <w:tcW w:w="4131" w:type="dxa"/>
                </w:tcPr>
                <w:p w14:paraId="19163BB9" w14:textId="7AC40B2D" w:rsidR="00E90056" w:rsidRPr="007727B5" w:rsidRDefault="00E90056" w:rsidP="00E90056">
                  <w:pPr>
                    <w:widowControl w:val="0"/>
                    <w:rPr>
                      <w:rFonts w:cstheme="minorHAnsi"/>
                      <w:color w:val="7F7F7F" w:themeColor="text1" w:themeTint="80"/>
                      <w:sz w:val="20"/>
                      <w:szCs w:val="20"/>
                    </w:rPr>
                  </w:pPr>
                  <w:r>
                    <w:rPr>
                      <w:rStyle w:val="Hyperlink"/>
                      <w:rFonts w:cstheme="minorHAnsi"/>
                      <w:sz w:val="20"/>
                      <w:szCs w:val="20"/>
                      <w:u w:val="none"/>
                      <w:shd w:val="clear" w:color="auto" w:fill="FFFFFF"/>
                    </w:rPr>
                    <w:t xml:space="preserve">rs121434569</w:t>
                  </w:r>
                  <w:proofErr w:type="spellStart"/>
                  <w:r w:rsidRPr="00D311C1">
                    <w:rPr>
                      <w:rStyle w:val="Hyperlink"/>
                      <w:rFonts w:cstheme="minorHAnsi"/>
                      <w:color w:val="000000" w:themeColor="text1"/>
                      <w:sz w:val="20"/>
                      <w:szCs w:val="20"/>
                      <w:u w:val="none"/>
                      <w:shd w:val="clear" w:color="auto" w:fill="FFFFFF"/>
                    </w:rPr>
                    <w:t/>
                  </w:r>
                  <w:proofErr w:type="spellEnd"/>
                  <w:r>
                    <w:rPr>
                      <w:rStyle w:val="Hyperlink"/>
                      <w:rFonts w:cstheme="minorHAnsi"/>
                      <w:color w:val="000000" w:themeColor="text1"/>
                      <w:u w:val="none"/>
                      <w:shd w:val="clear" w:color="auto" w:fill="FFFFFF"/>
                    </w:rPr>
                    <w:t/>
                  </w:r>
                  <w:r w:rsidRPr="007727B5">
                    <w:rPr>
                      <w:rStyle w:val="Hyperlink"/>
                      <w:rFonts w:cstheme="minorHAnsi"/>
                      <w:color w:val="000000" w:themeColor="text1"/>
                      <w:sz w:val="20"/>
                      <w:szCs w:val="20"/>
                      <w:u w:val="none"/>
                      <w:shd w:val="clear" w:color="auto" w:fill="FFFFFF"/>
                    </w:rPr>
                    <w:t/>
                  </w:r>
                  <w:r>
                    <w:rPr>
                      <w:rStyle w:val="Hyperlink"/>
                      <w:rFonts w:cstheme="minorHAnsi"/>
                      <w:color w:val="000000" w:themeColor="text1"/>
                      <w:sz w:val="20"/>
                      <w:szCs w:val="20"/>
                      <w:u w:val="none"/>
                      <w:shd w:val="clear" w:color="auto" w:fill="FFFFFF"/>
                    </w:rPr>
                    <w:t/>
                  </w:r>
                  <w:r w:rsidRPr="007727B5">
                    <w:rPr>
                      <w:rStyle w:val="Hyperlink"/>
                      <w:rFonts w:cstheme="minorHAnsi"/>
                      <w:color w:val="000000" w:themeColor="text1"/>
                      <w:u w:val="none"/>
                      <w:shd w:val="clear" w:color="auto" w:fill="FFFFFF"/>
                    </w:rPr>
                    <w:t/>
                  </w:r>
                </w:p>
              </w:tc>
            </w:tr>
            <w:tr w:rsidR="00E90056" w14:paraId="474A69C7" w14:textId="77777777" w:rsidTr="00E90056">
              <w:tc>
                <w:tcPr>
                  <w:tcW w:w="2872" w:type="dxa"/>
                </w:tcPr>
                <w:p w14:paraId="1A8852BF" w14:textId="31ADBD14" w:rsidR="00E90056" w:rsidRPr="00F022FA" w:rsidRDefault="00E90056" w:rsidP="00E90056">
                  <w:pPr>
                    <w:widowControl w:val="0"/>
                    <w:ind w:left="-34"/>
                    <w:rPr>
                      <w:color w:val="595959" w:themeColor="text1" w:themeTint="A6"/>
                      <w:sz w:val="20"/>
                      <w:szCs w:val="20"/>
                    </w:rPr>
                  </w:pPr>
                  <w:r>
                    <w:rPr>
                      <w:color w:val="595959" w:themeColor="text1" w:themeTint="A6"/>
                      <w:sz w:val="20"/>
                      <w:szCs w:val="20"/>
                    </w:rPr>
                    <w:t/>
                  </w:r>
                  <w:r>
                    <w:rPr>
                      <w:color w:val="595959" w:themeColor="text1" w:themeTint="A6"/>
                    </w:rPr>
                    <w:t/>
                  </w:r>
                  <w:r>
                    <w:rPr>
                      <w:color w:val="595959" w:themeColor="text1" w:themeTint="A6"/>
                      <w:sz w:val="20"/>
                      <w:szCs w:val="20"/>
                    </w:rPr>
                    <w:t/>
                  </w:r>
                  <w:r w:rsidRPr="00F022FA">
                    <w:rPr>
                      <w:color w:val="595959" w:themeColor="text1" w:themeTint="A6"/>
                      <w:sz w:val="20"/>
                      <w:szCs w:val="20"/>
                    </w:rPr>
                    <w:t xml:space="preserve">ClinVar Variant ID</w:t>
                  </w:r>
                </w:p>
              </w:tc>
              <w:tc>
                <w:tcPr>
                  <w:tcW w:w="4131" w:type="dxa"/>
                </w:tcPr>
                <w:p w14:paraId="7ADB39EE" w14:textId="11154D57" w:rsidR="00E90056" w:rsidRPr="00BA22CA" w:rsidRDefault="00E90056" w:rsidP="00E90056">
                  <w:pPr>
                    <w:widowControl w:val="0"/>
                    <w:rPr>
                      <w:rFonts w:cstheme="minorHAnsi"/>
                      <w:sz w:val="20"/>
                      <w:szCs w:val="20"/>
                    </w:rPr>
                  </w:pPr>
                  <w:r>
                    <w:rPr>
                      <w:rStyle w:val="Hyperlink"/>
                      <w:rFonts w:cstheme="minorHAnsi"/>
                      <w:sz w:val="20"/>
                      <w:szCs w:val="20"/>
                      <w:u w:val="none"/>
                      <w:shd w:val="clear" w:color="auto" w:fill="FFFFFF"/>
                    </w:rPr>
                    <w:t xml:space="preserve">16613</w:t>
                  </w:r>
                  <w:proofErr w:type="spellStart"/>
                  <w:r>
                    <w:rPr>
                      <w:rStyle w:val="Hyperlink"/>
                      <w:rFonts w:cstheme="minorHAnsi"/>
                      <w:color w:val="000000" w:themeColor="text1"/>
                      <w:sz w:val="20"/>
                      <w:szCs w:val="20"/>
                      <w:u w:val="none"/>
                      <w:shd w:val="clear" w:color="auto" w:fill="FFFFFF"/>
                    </w:rPr>
                    <w:t/>
                  </w:r>
                  <w:proofErr w:type="spellEnd"/>
                  <w:r>
                    <w:rPr>
                      <w:rStyle w:val="Hyperlink"/>
                      <w:rFonts w:cstheme="minorHAnsi"/>
                      <w:color w:val="000000" w:themeColor="text1"/>
                      <w:shd w:val="clear" w:color="auto" w:fill="FFFFFF"/>
                    </w:rPr>
                    <w:t/>
                  </w:r>
                  <w:r w:rsidRPr="00BA22CA">
                    <w:rPr>
                      <w:rStyle w:val="Hyperlink"/>
                      <w:rFonts w:cstheme="minorHAnsi"/>
                      <w:color w:val="000000" w:themeColor="text1"/>
                      <w:sz w:val="20"/>
                      <w:szCs w:val="20"/>
                      <w:u w:val="none"/>
                      <w:shd w:val="clear" w:color="auto" w:fill="FFFFFF"/>
                    </w:rPr>
                    <w:t/>
                  </w:r>
                  <w:r>
                    <w:rPr>
                      <w:rStyle w:val="Hyperlink"/>
                      <w:rFonts w:cstheme="minorHAnsi"/>
                      <w:color w:val="000000" w:themeColor="text1"/>
                      <w:sz w:val="20"/>
                      <w:szCs w:val="20"/>
                      <w:u w:val="none"/>
                      <w:shd w:val="clear" w:color="auto" w:fill="FFFFFF"/>
                    </w:rPr>
                    <w:t/>
                  </w:r>
                  <w:r w:rsidRPr="00BA22CA">
                    <w:rPr>
                      <w:rStyle w:val="Hyperlink"/>
                      <w:rFonts w:cstheme="minorHAnsi"/>
                      <w:color w:val="000000" w:themeColor="text1"/>
                      <w:sz w:val="20"/>
                      <w:szCs w:val="20"/>
                      <w:u w:val="none"/>
                      <w:shd w:val="clear" w:color="auto" w:fill="FFFFFF"/>
                    </w:rPr>
                    <w:t/>
                  </w:r>
                </w:p>
              </w:tc>
            </w:tr>
            <w:tr w:rsidR="00E90056" w14:paraId="40470913" w14:textId="77777777" w:rsidTr="00E90056">
              <w:tc>
                <w:tcPr>
                  <w:tcW w:w="2872" w:type="dxa"/>
                </w:tcPr>
                <w:p w14:paraId="0CC8DD20" w14:textId="5CDECBBB" w:rsidR="00E90056" w:rsidRPr="00F022FA" w:rsidRDefault="00E90056" w:rsidP="00E90056">
                  <w:pPr>
                    <w:widowControl w:val="0"/>
                    <w:ind w:left="-34"/>
                    <w:rPr>
                      <w:color w:val="595959" w:themeColor="text1" w:themeTint="A6"/>
                      <w:sz w:val="20"/>
                      <w:szCs w:val="20"/>
                    </w:rPr>
                  </w:pPr>
                  <w:r>
                    <w:rPr>
                      <w:color w:val="595959" w:themeColor="text1" w:themeTint="A6"/>
                      <w:sz w:val="20"/>
                      <w:szCs w:val="20"/>
                    </w:rPr>
                    <w:t/>
                  </w:r>
                  <w:r>
                    <w:rPr>
                      <w:color w:val="595959" w:themeColor="text1" w:themeTint="A6"/>
                    </w:rPr>
                    <w:t/>
                  </w:r>
                  <w:r w:rsidRPr="00F022FA">
                    <w:rPr>
                      <w:color w:val="595959" w:themeColor="text1" w:themeTint="A6"/>
                      <w:sz w:val="20"/>
                      <w:szCs w:val="20"/>
                    </w:rPr>
                    <w:t xml:space="preserve">COSMIC Mutation ID</w:t>
                  </w:r>
                </w:p>
              </w:tc>
              <w:tc>
                <w:tcPr>
                  <w:tcW w:w="4131" w:type="dxa"/>
                </w:tcPr>
                <w:p w14:paraId="10D7C256" w14:textId="66236103" w:rsidR="00E90056" w:rsidRPr="00BA22CA" w:rsidRDefault="00E90056" w:rsidP="00E90056">
                  <w:pPr>
                    <w:widowControl w:val="0"/>
                    <w:rPr>
                      <w:rFonts w:cstheme="minorHAnsi"/>
                      <w:sz w:val="20"/>
                      <w:szCs w:val="20"/>
                    </w:rPr>
                  </w:pPr>
                  <w:r>
                    <w:rPr>
                      <w:rStyle w:val="Hyperlink"/>
                      <w:rFonts w:cstheme="minorHAnsi"/>
                      <w:sz w:val="20"/>
                      <w:szCs w:val="20"/>
                      <w:u w:val="none"/>
                      <w:shd w:val="clear" w:color="auto" w:fill="FFFFFF"/>
                    </w:rPr>
                    <w:t xml:space="preserve">COSM6240</w:t>
                  </w:r>
                  <w:proofErr w:type="spellStart"/>
                  <w:r>
                    <w:rPr>
                      <w:rStyle w:val="Hyperlink"/>
                      <w:rFonts w:cstheme="minorHAnsi"/>
                      <w:color w:val="000000" w:themeColor="text1"/>
                      <w:sz w:val="20"/>
                      <w:szCs w:val="20"/>
                      <w:u w:val="none"/>
                      <w:shd w:val="clear" w:color="auto" w:fill="FFFFFF"/>
                    </w:rPr>
                    <w:t/>
                  </w:r>
                  <w:proofErr w:type="spellEnd"/>
                  <w:r>
                    <w:rPr>
                      <w:rStyle w:val="Hyperlink"/>
                      <w:rFonts w:cstheme="minorHAnsi"/>
                      <w:color w:val="000000" w:themeColor="text1"/>
                      <w:sz w:val="20"/>
                      <w:szCs w:val="20"/>
                      <w:shd w:val="clear" w:color="auto" w:fill="FFFFFF"/>
                    </w:rPr>
                    <w:t/>
                  </w:r>
                  <w:hyperlink r:id="rId8" w:history="1">
                    <w:r w:rsidRPr="00BA22CA">
                      <w:rPr>
                        <w:rStyle w:val="Hyperlink"/>
                        <w:rFonts w:cstheme="minorHAnsi"/>
                        <w:color w:val="000000" w:themeColor="text1"/>
                        <w:sz w:val="20"/>
                        <w:szCs w:val="20"/>
                        <w:u w:val="none"/>
                        <w:shd w:val="clear" w:color="auto" w:fill="FFFFFF"/>
                      </w:rPr>
                      <w:t/>
                    </w:r>
                    <w:r>
                      <w:rPr>
                        <w:rStyle w:val="Hyperlink"/>
                        <w:rFonts w:cstheme="minorHAnsi"/>
                        <w:color w:val="000000" w:themeColor="text1"/>
                        <w:sz w:val="20"/>
                        <w:szCs w:val="20"/>
                        <w:u w:val="none"/>
                        <w:shd w:val="clear" w:color="auto" w:fill="FFFFFF"/>
                      </w:rPr>
                      <w:t/>
                    </w:r>
                    <w:r w:rsidRPr="00BA22CA">
                      <w:rPr>
                        <w:rStyle w:val="Hyperlink"/>
                        <w:rFonts w:cstheme="minorHAnsi"/>
                        <w:color w:val="000000" w:themeColor="text1"/>
                        <w:sz w:val="20"/>
                        <w:szCs w:val="20"/>
                        <w:u w:val="none"/>
                        <w:shd w:val="clear" w:color="auto" w:fill="FFFFFF"/>
                      </w:rPr>
                      <w:t/>
                    </w:r>
                  </w:hyperlink>
                </w:p>
              </w:tc>
            </w:tr>
            <w:tr w:rsidR="00E90056" w14:paraId="33E05A84" w14:textId="77777777" w:rsidTr="00E90056">
              <w:trPr>
                <w:trHeight w:val="387"/>
              </w:trPr>
              <w:tc>
                <w:tcPr>
                  <w:tcW w:w="2872" w:type="dxa"/>
                </w:tcPr>
                <w:p w14:paraId="003401B6" w14:textId="1C854986" w:rsidR="00E90056" w:rsidRPr="00F022FA" w:rsidRDefault="00E90056" w:rsidP="00E90056">
                  <w:pPr>
                    <w:widowControl w:val="0"/>
                    <w:ind w:left="-34"/>
                    <w:rPr>
                      <w:color w:val="595959" w:themeColor="text1" w:themeTint="A6"/>
                      <w:sz w:val="20"/>
                      <w:szCs w:val="20"/>
                    </w:rPr>
                  </w:pPr>
                  <w:r>
                    <w:rPr>
                      <w:color w:val="595959" w:themeColor="text1" w:themeTint="A6"/>
                      <w:sz w:val="20"/>
                      <w:szCs w:val="20"/>
                    </w:rPr>
                    <w:t xml:space="preserve">African Allele Frequency</w:t>
                  </w:r>
                </w:p>
              </w:tc>
              <w:tc>
                <w:tcPr>
                  <w:tcW w:w="4131" w:type="dxa"/>
                </w:tcPr>
                <w:p w14:paraId="6632547E" w14:textId="1ACB9471" w:rsidR="00E90056" w:rsidRPr="00BC7E63" w:rsidRDefault="00E90056" w:rsidP="00E90056">
                  <w:pPr>
                    <w:widowControl w:val="0"/>
                    <w:rPr>
                      <w:color w:val="000000" w:themeColor="text1"/>
                      <w:sz w:val="20"/>
                      <w:szCs w:val="20"/>
                    </w:rPr>
                  </w:pPr>
                  <w:r w:rsidRPr="00DE173A">
                    <w:rPr>
                      <w:rStyle w:val="Hyperlink"/>
                      <w:rFonts w:cstheme="minorHAnsi"/>
                      <w:color w:val="000000" w:themeColor="text1"/>
                      <w:sz w:val="20"/>
                      <w:szCs w:val="20"/>
                      <w:shd w:val="clear" w:color="auto" w:fill="FFFFFF"/>
                    </w:rPr>
                    <w:t xml:space="preserve">2/16256 (0.01%)</w:t>
                  </w:r>
                  <w:proofErr w:type="spellStart"/>
                  <w:r>
                    <w:rPr>
                      <w:rStyle w:val="Hyperlink"/>
                      <w:rFonts w:cstheme="minorHAnsi"/>
                      <w:color w:val="000000" w:themeColor="text1"/>
                      <w:sz w:val="20"/>
                      <w:szCs w:val="20"/>
                      <w:shd w:val="clear" w:color="auto" w:fill="FFFFFF"/>
                    </w:rPr>
                    <w:t/>
                  </w:r>
                  <w:proofErr w:type="spellEnd"/>
                  <w:r w:rsidRPr="00DE173A">
                    <w:rPr>
                      <w:rStyle w:val="Hyperlink"/>
                      <w:color w:val="000000" w:themeColor="text1"/>
                      <w:shd w:val="clear" w:color="auto" w:fill="FFFFFF"/>
                    </w:rPr>
                    <w:t/>
                  </w:r>
                  <w:r w:rsidRPr="00DE173A">
                    <w:rPr>
                      <w:rStyle w:val="Hyperlink"/>
                      <w:rFonts w:cstheme="minorHAnsi"/>
                      <w:color w:val="000000" w:themeColor="text1"/>
                      <w:sz w:val="20"/>
                      <w:szCs w:val="20"/>
                      <w:shd w:val="clear" w:color="auto" w:fill="FFFFFF"/>
                    </w:rPr>
                    <w:t/>
                  </w:r>
                </w:p>
              </w:tc>
            </w:tr>
          </w:tbl>
          <w:p w14:paraId="03DA7AA6" w14:textId="271D9AB2" w:rsidR="00974465" w:rsidRPr="001922F7" w:rsidRDefault="00E90056" w:rsidP="001922F7">
            <w:pPr>
              <w:rPr>
                <w:sz w:val="20"/>
                <w:szCs w:val="20"/>
              </w:rPr>
            </w:pPr>
            <w:r>
              <w:rPr>
                <w:sz w:val="20"/>
                <w:szCs w:val="20"/>
              </w:rPr>
              <w:t/>
            </w:r>
            <w:r w:rsidR="009F50D7">
              <w:rPr>
                <w:sz w:val="20"/>
                <w:szCs w:val="20"/>
              </w:rPr>
              <w:t/>
            </w:r>
            <w:bookmarkEnd w:id="6"/>
          </w:p>
          <w:p w14:paraId="7C8C51E4" w14:textId="7C4C2BC4" w:rsidR="00974465" w:rsidRPr="00861B32" w:rsidRDefault="00B7574D" w:rsidP="00974465">
            <w:pPr>
              <w:widowControl w:val="0"/>
              <w:rPr>
                <w:rFonts w:cstheme="minorHAnsi"/>
                <w:smallCaps/>
                <w:color w:val="0D0D0D" w:themeColor="text1" w:themeTint="F2"/>
                <w:spacing w:val="10"/>
                <w:sz w:val="20"/>
                <w:szCs w:val="20"/>
              </w:rPr>
            </w:pPr>
            <w:r>
              <w:rPr>
                <w:rFonts w:cstheme="minorHAnsi"/>
                <w:smallCaps/>
                <w:color w:val="0D0D0D" w:themeColor="text1" w:themeTint="F2"/>
                <w:spacing w:val="10"/>
                <w:sz w:val="20"/>
                <w:szCs w:val="20"/>
              </w:rPr>
              <w:t/>
            </w:r>
          </w:p>
        </w:tc>
      </w:tr>
    </w:tbl>
    <w:p w14:paraId="0AB5069A" w14:textId="6C1428D6" w:rsidR="00F1311E" w:rsidRPr="00B21E25" w:rsidRDefault="007453B5" w:rsidP="0093769D">
      <w:pPr>
        <w:spacing w:before="200" w:after="0"/>
        <w:rPr>
          <w:rFonts w:cs="Calibri Light (Headings)"/>
          <w:b/>
          <w:smallCaps/>
          <w:color w:val="0D0D0D" w:themeColor="text1" w:themeTint="F2"/>
          <w:spacing w:val="10"/>
          <w:sz w:val="28"/>
        </w:rPr>
      </w:pPr>
      <w:r>
        <w:rPr>
          <w:rFonts w:cs="Calibri Light (Headings)"/>
          <w:b/>
          <w:smallCaps/>
          <w:color w:val="0D0D0D" w:themeColor="text1" w:themeTint="F2"/>
          <w:spacing w:val="10"/>
          <w:sz w:val="28"/>
        </w:rPr>
        <w:t/>
      </w:r>
      <w:r w:rsidRPr="007453B5">
        <w:rPr>
          <w:rFonts w:cs="Calibri Light (Headings)"/>
          <w:b/>
          <w:smallCaps/>
          <w:color w:val="0D0D0D" w:themeColor="text1" w:themeTint="F2"/>
          <w:spacing w:val="10"/>
          <w:sz w:val="28"/>
        </w:rPr>
        <w:t/>
      </w:r>
      <w:r>
        <w:rPr>
          <w:rFonts w:cs="Calibri Light (Headings)"/>
          <w:b/>
          <w:smallCaps/>
          <w:color w:val="0D0D0D" w:themeColor="text1" w:themeTint="F2"/>
          <w:spacing w:val="10"/>
          <w:sz w:val="28"/>
        </w:rPr>
        <w:t/>
      </w:r>
    </w:p>
    <w:p w14:paraId="4FD72334" w14:textId="3EC29504" w:rsidR="0093769D" w:rsidRPr="00354A16" w:rsidRDefault="0093769D" w:rsidP="0093769D">
      <w:pPr>
        <w:spacing w:before="200" w:after="0"/>
        <w:rPr>
          <w:rFonts w:cs="Calibri Light (Headings)"/>
          <w:b/>
          <w:smallCaps/>
          <w:color w:val="0D0D0D" w:themeColor="text1" w:themeTint="F2"/>
          <w:spacing w:val="10"/>
          <w:sz w:val="28"/>
        </w:rPr>
      </w:pPr>
      <w:r w:rsidRPr="00354A16">
        <w:rPr>
          <w:rFonts w:cs="Calibri Light (Headings)"/>
          <w:b/>
          <w:smallCaps/>
          <w:color w:val="0D0D0D" w:themeColor="text1" w:themeTint="F2"/>
          <w:spacing w:val="10"/>
          <w:sz w:val="28"/>
        </w:rPr>
        <w:t xml:space="preserve">Prognostic and Diagnostic Details</w:t>
      </w:r>
      <w:r w:rsidRPr="00354A16">
        <w:rPr>
          <w:rFonts w:cs="Calibri Light (Headings)"/>
          <w:b/>
          <w:smallCaps/>
          <w:color w:val="0D0D0D" w:themeColor="text1" w:themeTint="F2"/>
          <w:spacing w:val="10"/>
          <w:sz w:val="28"/>
        </w:rPr>
        <w:tab/>
      </w:r>
      <w:r w:rsidRPr="00354A16">
        <w:rPr>
          <w:rFonts w:cs="Calibri Light (Headings)"/>
          <w:b/>
          <w:smallCaps/>
          <w:color w:val="0D0D0D" w:themeColor="text1" w:themeTint="F2"/>
          <w:spacing w:val="10"/>
          <w:sz w:val="28"/>
        </w:rPr>
        <w:tab/>
      </w:r>
    </w:p>
    <w:tbl>
      <w:tblPr>
        <w:tblStyle w:val="TableGrid"/>
        <w:tblW w:w="11030" w:type="dxa"/>
        <w:tblBorders>
          <w:left w:val="none" w:sz="0" w:space="0" w:color="auto"/>
          <w:bottom w:val="none" w:sz="0" w:space="0" w:color="auto"/>
          <w:right w:val="none" w:sz="0" w:space="0" w:color="auto"/>
          <w:insideH w:val="none" w:sz="0" w:space="0" w:color="auto"/>
          <w:insideV w:val="none" w:sz="0" w:space="0" w:color="auto"/>
        </w:tblBorders>
        <w:tblCellMar>
          <w:left w:w="115" w:type="dxa"/>
          <w:bottom w:w="115" w:type="dxa"/>
          <w:right w:w="115" w:type="dxa"/>
        </w:tblCellMar>
        <w:tblLook w:val="06A0" w:firstRow="1" w:lastRow="0" w:firstColumn="1" w:lastColumn="0" w:noHBand="1" w:noVBand="1"/>
      </w:tblPr>
      <w:tblGrid>
        <w:gridCol w:w="4580"/>
        <w:gridCol w:w="6450"/>
      </w:tblGrid>
      <w:tr w:rsidR="00354A16" w:rsidRPr="00861B32" w14:paraId="35A042C5" w14:textId="77777777" w:rsidTr="005E0A0B">
        <w:trPr>
          <w:trHeight w:val="2403"/>
        </w:trPr>
        <w:tc>
          <w:tcPr>
            <w:tcW w:w="2905" w:type="dxa"/>
            <w:tcBorders>
              <w:top w:val="single" w:sz="4" w:space="0" w:color="auto"/>
            </w:tcBorders>
          </w:tcPr>
          <w:p w14:paraId="2037B2DD" w14:textId="0A9095C3" w:rsidR="00354A16" w:rsidRPr="004A15E4" w:rsidRDefault="00AA6494" w:rsidP="00AD7764">
            <w:pPr>
              <w:widowControl w:val="0"/>
              <w:rPr>
                <w:color w:val="7F7F7F" w:themeColor="text1" w:themeTint="80"/>
                <w:sz w:val="20"/>
                <w:szCs w:val="20"/>
              </w:rPr>
            </w:pPr>
            <w:r w:rsidRPr="004A15E4">
              <w:rPr>
                <w:color w:val="7F7F7F" w:themeColor="text1" w:themeTint="80"/>
                <w:sz w:val="20"/>
                <w:szCs w:val="20"/>
              </w:rPr>
              <w:t/>
            </w:r>
            <w:r w:rsidR="00354A16" w:rsidRPr="004A15E4">
              <w:rPr>
                <w:color w:val="7F7F7F" w:themeColor="text1" w:themeTint="80"/>
                <w:sz w:val="20"/>
                <w:szCs w:val="20"/>
              </w:rPr>
              <w:t xml:space="preserve">Prognostic Evidence:</w:t>
            </w:r>
          </w:p>
          <w:p w14:paraId="1ED29D4B" w14:textId="5F178331" w:rsidR="00354A16" w:rsidRPr="004A15E4" w:rsidRDefault="00AA6494" w:rsidP="00AD7764">
            <w:pPr>
              <w:widowControl w:val="0"/>
              <w:rPr>
                <w:color w:val="000000" w:themeColor="text1"/>
                <w:sz w:val="24"/>
                <w:szCs w:val="24"/>
              </w:rPr>
            </w:pPr>
            <w:r>
              <w:rPr>
                <w:sz w:val="24"/>
                <w:szCs w:val="24"/>
                <w:color w:val="FFC000"/>
              </w:rPr>
              <w:t xml:space="preserve">Tier III</w:t>
            </w:r>
            <w:proofErr w:type="spellStart"/>
            <w:r w:rsidRPr="004A15E4">
              <w:rPr>
                <w:color w:val="000000" w:themeColor="text1"/>
                <w:sz w:val="24"/>
                <w:szCs w:val="24"/>
              </w:rPr>
              <w:t/>
            </w:r>
            <w:proofErr w:type="spellEnd"/>
            <w:r w:rsidRPr="004A15E4">
              <w:rPr>
                <w:color w:val="000000" w:themeColor="text1"/>
                <w:sz w:val="24"/>
                <w:szCs w:val="24"/>
              </w:rPr>
              <w:t/>
            </w:r>
          </w:p>
          <w:p w14:paraId="6E368C22" w14:textId="77777777" w:rsidR="00AD7764" w:rsidRPr="004A15E4" w:rsidRDefault="00AD7764" w:rsidP="00AD7764">
            <w:pPr>
              <w:widowControl w:val="0"/>
              <w:rPr>
                <w:color w:val="7F7F7F" w:themeColor="text1" w:themeTint="80"/>
                <w:sz w:val="20"/>
                <w:szCs w:val="20"/>
              </w:rPr>
            </w:pPr>
          </w:p>
          <w:p w14:paraId="18B3AACB" w14:textId="18D63EDE" w:rsidR="00354A16" w:rsidRPr="00AA6494" w:rsidRDefault="00354A16" w:rsidP="00AD7764">
            <w:pPr>
              <w:widowControl w:val="0"/>
              <w:rPr>
                <w:color w:val="7F7F7F" w:themeColor="text1" w:themeTint="80"/>
                <w:sz w:val="20"/>
                <w:szCs w:val="20"/>
                <w:lang w:val="es-ES"/>
              </w:rPr>
            </w:pPr>
            <w:proofErr w:type="spellStart"/>
            <w:r w:rsidRPr="00AA6494">
              <w:rPr>
                <w:color w:val="7F7F7F" w:themeColor="text1" w:themeTint="80"/>
                <w:sz w:val="20"/>
                <w:szCs w:val="20"/>
                <w:lang w:val="es-ES"/>
              </w:rPr>
              <w:t xml:space="preserve">Diagnostic</w:t>
            </w:r>
            <w:proofErr w:type="spellEnd"/>
            <w:r w:rsidRPr="00AA6494">
              <w:rPr>
                <w:color w:val="7F7F7F" w:themeColor="text1" w:themeTint="80"/>
                <w:sz w:val="20"/>
                <w:szCs w:val="20"/>
                <w:lang w:val="es-ES"/>
              </w:rPr>
              <w:t xml:space="preserve"> </w:t>
            </w:r>
            <w:proofErr w:type="spellStart"/>
            <w:r w:rsidRPr="00AA6494">
              <w:rPr>
                <w:color w:val="7F7F7F" w:themeColor="text1" w:themeTint="80"/>
                <w:sz w:val="20"/>
                <w:szCs w:val="20"/>
                <w:lang w:val="es-ES"/>
              </w:rPr>
              <w:t xml:space="preserve">Evidence</w:t>
            </w:r>
            <w:proofErr w:type="spellEnd"/>
            <w:r w:rsidRPr="00AA6494">
              <w:rPr>
                <w:color w:val="7F7F7F" w:themeColor="text1" w:themeTint="80"/>
                <w:sz w:val="20"/>
                <w:szCs w:val="20"/>
                <w:lang w:val="es-ES"/>
              </w:rPr>
              <w:t xml:space="preserve">:</w:t>
            </w:r>
          </w:p>
          <w:p w14:paraId="0832D15E" w14:textId="4C759618" w:rsidR="00354A16" w:rsidRPr="00AA6494" w:rsidRDefault="00AA6494" w:rsidP="00AD7764">
            <w:pPr>
              <w:widowControl w:val="0"/>
              <w:rPr>
                <w:color w:val="000000" w:themeColor="text1"/>
                <w:sz w:val="24"/>
                <w:szCs w:val="24"/>
              </w:rPr>
            </w:pPr>
            <w:r>
              <w:rPr>
                <w:sz w:val="24"/>
                <w:szCs w:val="24"/>
              </w:rPr>
              <w:t xml:space="preserve">None</w:t>
            </w:r>
            <w:proofErr w:type="spellStart"/>
            <w:r w:rsidRPr="00AA6494">
              <w:rPr>
                <w:color w:val="000000" w:themeColor="text1"/>
                <w:sz w:val="24"/>
                <w:szCs w:val="24"/>
              </w:rPr>
              <w:t/>
            </w:r>
            <w:proofErr w:type="spellEnd"/>
            <w:r w:rsidRPr="00AA6494">
              <w:rPr>
                <w:color w:val="000000" w:themeColor="text1"/>
                <w:sz w:val="24"/>
                <w:szCs w:val="24"/>
              </w:rPr>
              <w:t/>
            </w:r>
          </w:p>
        </w:tc>
        <w:tc>
          <w:tcPr>
            <w:tcW w:w="8125" w:type="dxa"/>
            <w:tcBorders>
              <w:top w:val="single" w:sz="4" w:space="0" w:color="auto"/>
            </w:tcBorders>
          </w:tcPr>
          <w:p w14:paraId="0B379150" w14:textId="15C0C0E8" w:rsidR="00354A16" w:rsidRPr="00CE5342" w:rsidRDefault="001B1DD4" w:rsidP="00354A16">
            <w:pPr>
              <w:widowControl w:val="0"/>
              <w:spacing w:before="240"/>
              <w:rPr>
                <w:color w:val="595959" w:themeColor="text1" w:themeTint="A6"/>
                <w:sz w:val="20"/>
                <w:szCs w:val="20"/>
              </w:rPr>
            </w:pPr>
            <w:r>
              <w:rPr>
                <w:b/>
                <w:color w:val="262626" w:themeColor="text1" w:themeTint="D9"/>
                <w:sz w:val="20"/>
                <w:szCs w:val="20"/>
              </w:rPr>
              <w:t/>
            </w:r>
            <w:r w:rsidR="00BB5C2F">
              <w:rPr>
                <w:b/>
                <w:color w:val="262626" w:themeColor="text1" w:themeTint="D9"/>
                <w:sz w:val="20"/>
                <w:szCs w:val="20"/>
              </w:rPr>
              <w:t xml:space="preserve">EGFR </w:t>
            </w:r>
            <w:r w:rsidR="00AA6494">
              <w:rPr>
                <w:b/>
                <w:color w:val="262626" w:themeColor="text1" w:themeTint="D9"/>
                <w:sz w:val="20"/>
                <w:szCs w:val="20"/>
              </w:rPr>
              <w:t xml:space="preserve">Thr790Met</w:t>
            </w:r>
            <w:r w:rsidR="00354A16">
              <w:rPr>
                <w:b/>
                <w:color w:val="262626" w:themeColor="text1" w:themeTint="D9"/>
                <w:sz w:val="20"/>
                <w:szCs w:val="20"/>
              </w:rPr>
              <w:t xml:space="preserve"> Prognostic Evidence</w:t>
            </w:r>
            <w:r w:rsidR="00354A16" w:rsidRPr="002F70CC">
              <w:rPr>
                <w:b/>
                <w:color w:val="262626" w:themeColor="text1" w:themeTint="D9"/>
                <w:sz w:val="20"/>
                <w:szCs w:val="20"/>
              </w:rPr>
              <w:t xml:space="preserve">:</w:t>
            </w:r>
          </w:p>
          <w:p w14:paraId="6DCE72AA" w14:textId="5901E1F4" w:rsidR="00354A16" w:rsidRDefault="00AA6494" w:rsidP="00354A16">
            <w:pPr>
              <w:rPr>
                <w:sz w:val="20"/>
                <w:szCs w:val="20"/>
              </w:rPr>
            </w:pPr>
            <w:r>
              <w:rPr>
                <w:sz w:val="20"/>
                <w:szCs w:val="20"/>
                <w:i/>
              </w:rPr>
              <w:t xml:space="preserve">EGFR</w:t>
            </w:r>
            <w:r>
              <w:rPr>
                <w:sz w:val="20"/>
                <w:szCs w:val="20"/>
              </w:rPr>
              <w:t xml:space="preserve"> p.T790M is most commonly seen as an acquired resistance mutation in non-small cell lung cancer (NSCLC) patients treated with EGFR tyrosine kinase inhibitors (TKI). When present as a de novo mutation, </w:t>
            </w:r>
            <w:r>
              <w:rPr>
                <w:sz w:val="20"/>
                <w:szCs w:val="20"/>
                <w:i/>
              </w:rPr>
              <w:t xml:space="preserve">EGFR</w:t>
            </w:r>
            <w:r>
              <w:rPr>
                <w:sz w:val="20"/>
                <w:szCs w:val="20"/>
              </w:rPr>
              <w:t xml:space="preserve"> p.T790M is associated with lower response rate, shorter progression-free survival on EGFR TKI, and shorter overall survival (PMID: 24478319, 22215752, 21233402).</w:t>
            </w:r>
            <w:proofErr w:type="spellStart"/>
            <w:r>
              <w:rPr>
                <w:sz w:val="20"/>
                <w:szCs w:val="20"/>
              </w:rPr>
              <w:t/>
            </w:r>
            <w:proofErr w:type="spellEnd"/>
            <w:r>
              <w:rPr>
                <w:sz w:val="20"/>
                <w:szCs w:val="20"/>
              </w:rPr>
              <w:t/>
            </w:r>
          </w:p>
          <w:p w14:paraId="2411E456" w14:textId="3483C5CA" w:rsidR="00354A16" w:rsidRPr="001B1DD4" w:rsidRDefault="001B1DD4" w:rsidP="00354A16">
            <w:pPr>
              <w:widowControl w:val="0"/>
              <w:spacing w:before="240"/>
              <w:rPr>
                <w:b/>
                <w:color w:val="262626" w:themeColor="text1" w:themeTint="D9"/>
                <w:sz w:val="20"/>
                <w:szCs w:val="20"/>
              </w:rPr>
            </w:pPr>
            <w:r w:rsidRPr="001B1DD4">
              <w:rPr>
                <w:b/>
                <w:color w:val="262626" w:themeColor="text1" w:themeTint="D9"/>
                <w:sz w:val="20"/>
                <w:szCs w:val="20"/>
              </w:rPr>
              <w:t/>
            </w:r>
            <w:r w:rsidR="001B1DD4">
              <w:rPr>
                <w:rFonts w:cstheme="minorHAnsi"/>
                <w:smallCaps/>
                <w:color w:val="0D0D0D" w:themeColor="text1" w:themeTint="F2"/>
                <w:spacing w:val="10"/>
                <w:sz w:val="20"/>
                <w:szCs w:val="20"/>
              </w:rPr>
              <w:t/>
            </w:r>
          </w:p>
        </w:tc>
      </w:tr>
    </w:tbl>
    <w:p w14:paraId="3EC55E01" w14:textId="66A05CFE" w:rsidR="007453B5" w:rsidRPr="008D3845" w:rsidRDefault="007453B5" w:rsidP="007453B5">
      <w:pPr>
        <w:spacing w:after="0"/>
        <w:rPr>
          <w:rFonts w:cs="Calibri Light (Headings)"/>
          <w:b/>
          <w:smallCaps/>
          <w:color w:val="0D0D0D" w:themeColor="text1" w:themeTint="F2"/>
          <w:spacing w:val="10"/>
          <w:sz w:val="16"/>
          <w:szCs w:val="16"/>
        </w:rPr>
      </w:pPr>
      <w:r w:rsidRPr="008D3845">
        <w:rPr>
          <w:rFonts w:cs="Calibri Light (Headings)"/>
          <w:b/>
          <w:smallCaps/>
          <w:color w:val="0D0D0D" w:themeColor="text1" w:themeTint="F2"/>
          <w:spacing w:val="10"/>
          <w:sz w:val="16"/>
          <w:szCs w:val="16"/>
        </w:rPr>
        <w:t/>
      </w:r>
      <w:r w:rsidR="008D3845" w:rsidRPr="008D3845">
        <w:rPr>
          <w:rFonts w:cs="Calibri Light (Headings)"/>
          <w:b/>
          <w:smallCaps/>
          <w:color w:val="0D0D0D" w:themeColor="text1" w:themeTint="F2"/>
          <w:spacing w:val="10"/>
          <w:sz w:val="16"/>
          <w:szCs w:val="16"/>
        </w:rPr>
        <w:t/>
      </w:r>
      <w:r w:rsidR="00D74649">
        <w:rPr>
          <w:rFonts w:cs="Calibri Light (Headings)"/>
          <w:b/>
          <w:smallCaps/>
          <w:color w:val="0D0D0D" w:themeColor="text1" w:themeTint="F2"/>
          <w:spacing w:val="10"/>
          <w:sz w:val="16"/>
          <w:szCs w:val="16"/>
        </w:rPr>
        <w:t/>
      </w:r>
      <w:r w:rsidR="008D3845" w:rsidRPr="008D3845">
        <w:rPr>
          <w:rFonts w:cs="Calibri Light (Headings)"/>
          <w:b/>
          <w:smallCaps/>
          <w:color w:val="0D0D0D" w:themeColor="text1" w:themeTint="F2"/>
          <w:spacing w:val="10"/>
          <w:sz w:val="16"/>
          <w:szCs w:val="16"/>
        </w:rPr>
        <w:t/>
      </w:r>
    </w:p>
    <w:p w14:paraId="6A7D1A8B" w14:textId="5C6F8EC7" w:rsidR="00F34A70" w:rsidRPr="00D25757" w:rsidRDefault="00F34A70" w:rsidP="00F34A70">
      <w:pPr>
        <w:spacing w:before="200" w:after="0"/>
        <w:rPr>
          <w:rFonts w:cs="Calibri Light (Headings)"/>
          <w:b/>
          <w:smallCaps/>
          <w:color w:val="0D0D0D" w:themeColor="text1" w:themeTint="F2"/>
          <w:spacing w:val="10"/>
          <w:sz w:val="28"/>
        </w:rPr>
      </w:pPr>
      <w:r>
        <w:rPr>
          <w:rFonts w:cs="Calibri Light (Headings)"/>
          <w:b/>
          <w:smallCaps/>
          <w:color w:val="0D0D0D" w:themeColor="text1" w:themeTint="F2"/>
          <w:spacing w:val="10"/>
          <w:sz w:val="28"/>
        </w:rPr>
        <w:t xml:space="preserve">Therapeutic Option</w:t>
      </w:r>
      <w:r w:rsidR="00D81235">
        <w:rPr>
          <w:rFonts w:cs="Calibri Light (Headings)"/>
          <w:b/>
          <w:smallCaps/>
          <w:color w:val="0D0D0D" w:themeColor="text1" w:themeTint="F2"/>
          <w:spacing w:val="10"/>
          <w:sz w:val="28"/>
        </w:rPr>
        <w:t xml:space="preserve">s Details</w:t>
      </w:r>
      <w:r>
        <w:rPr>
          <w:rFonts w:cs="Calibri Light (Headings)"/>
          <w:b/>
          <w:smallCaps/>
          <w:color w:val="0D0D0D" w:themeColor="text1" w:themeTint="F2"/>
          <w:spacing w:val="10"/>
          <w:sz w:val="28"/>
        </w:rPr>
        <w:tab/>
      </w:r>
      <w:r>
        <w:rPr>
          <w:rFonts w:cs="Calibri Light (Headings)"/>
          <w:b/>
          <w:smallCaps/>
          <w:color w:val="0D0D0D" w:themeColor="text1" w:themeTint="F2"/>
          <w:spacing w:val="10"/>
          <w:sz w:val="28"/>
        </w:rPr>
        <w:tab/>
      </w:r>
    </w:p>
    <w:tbl>
      <w:tblPr>
        <w:tblStyle w:val="TableGrid"/>
        <w:tblW w:w="10975" w:type="dxa"/>
        <w:tblBorders>
          <w:left w:val="none" w:sz="0" w:space="0" w:color="auto"/>
          <w:bottom w:val="none" w:sz="0" w:space="0" w:color="auto"/>
          <w:right w:val="none" w:sz="0" w:space="0" w:color="auto"/>
          <w:insideH w:val="none" w:sz="0" w:space="0" w:color="auto"/>
          <w:insideV w:val="none" w:sz="0" w:space="0" w:color="auto"/>
        </w:tblBorders>
        <w:tblLayout w:type="fixed"/>
        <w:tblCellMar>
          <w:left w:w="115" w:type="dxa"/>
          <w:bottom w:w="115" w:type="dxa"/>
          <w:right w:w="115" w:type="dxa"/>
        </w:tblCellMar>
        <w:tblLook w:val="06A0" w:firstRow="1" w:lastRow="0" w:firstColumn="1" w:lastColumn="0" w:noHBand="1" w:noVBand="1"/>
      </w:tblPr>
      <w:tblGrid>
        <w:gridCol w:w="2880"/>
        <w:gridCol w:w="8095"/>
      </w:tblGrid>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Durvalumab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Non-Small Cell Lung Cancer, Small Cell Lung Cancer, Biliary Tract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Imfinzi</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Monoclonal Antibody, Immune Checkpoint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PD-L1</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Durvalumab (Imfinzi) is FDA approved for the treatment of certain patients with extensive-stage small cell lung cancer (PMID: 34731446, 33687763) or non-small cell lung cancer (PMID: 32764980). It is also approved in combination with gemcitabine and cisplatin for the treatment of adult patients with locally advanced or metastatic biliary tract cancer (https://evidence.nejm.org/doi/full/10.1056/EVIDoa2200015). </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Durvalumab</w:t>
            </w:r>
            <w:r w:rsidR="00F34A70" w:rsidRPr="00EF6D0A">
              <w:rPr>
                <w:b/>
                <w:color w:val="262626" w:themeColor="text1" w:themeTint="D9"/>
                <w:sz w:val="20"/>
                <w:szCs w:val="20"/>
              </w:rPr>
              <w:t xml:space="preserve"> Description: </w:t>
            </w:r>
            <w:r>
              <w:rPr>
                <w:sz w:val="20"/>
                <w:szCs w:val="20"/>
              </w:rPr>
              <w:t xml:space="preserve">Durvalumab is an injectable monoclonal antibody that belongs to the class of drugs called immune checkpoint inhibitors (PMID: 34731446). Durvalumab targets PD-L1, an essential immune checkpoint protein that is often upregulated in cancer cells as a mechanism of immune evasion (PMID: 28878676).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Durvalumab is an injectable monoclonal antibody that belongs to the class of drugs called immune checkpoint inhibitors (PMID: 34731446). Durvalumab targets PD-L1, an essential immune checkpoint protein that is often upregulated in cancer cells as a mechanism of immune evasion (PMID: 28878676).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Nivolumab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Melanoma, Non-Small Cell Lung Cancer, Malignant Pleural Mesothelioma, Renal Cell Carcinoma, Classical Hodgkin Lymphoma, Squamous Cell Carcinoma of the Head and Neck, Urothelial Carcinoma, Colorectal Cancer, Hepatocellular Carcinoma, Esophageal Cancer, Gastric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Opdivo</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Monoclonal Antibody, Immune Checkpoint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PD-1</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Nivolumab (Opdivo) is FDA approved for diverse cancer types, including for the treatment of certain patients with melanoma, non-small cell lung cancer, malignant pleural mesothelioma, renal cell carcinoma, classical Hodgkin lymphoma, head and neck squamous cell carcinoma, urothelial carcinoma, colorectal cancer, hepatocellular carcinoma, and gastroesophageal cancers. </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Nivolumab</w:t>
            </w:r>
            <w:r w:rsidR="00F34A70" w:rsidRPr="00EF6D0A">
              <w:rPr>
                <w:b/>
                <w:color w:val="262626" w:themeColor="text1" w:themeTint="D9"/>
                <w:sz w:val="20"/>
                <w:szCs w:val="20"/>
              </w:rPr>
              <w:t xml:space="preserve"> Description: </w:t>
            </w:r>
            <w:r>
              <w:rPr>
                <w:sz w:val="20"/>
                <w:szCs w:val="20"/>
              </w:rPr>
              <w:t xml:space="preserve">Nivolumab is an injectable fully-humanized monoclonal antibody that belongs to the class of drugs called immune checkpoint inhibitors. Nivolumab inhibits PD-1, an immune checkpoint receptor that is expressed on T cells and functions as a negative regulator of T-cell activation (PMID: 34937915). Nivolumab blocks PD-1 interaction with its ligands PD-L1 (CD274) and PD-L2 (CD273), resulting in enhanced T-cell activation and improved antitumor immune responses (PMID: 34937915).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Disease progression after treatment with immune checkpoint inhibitors, including nivolumab, may occur due to diverse mechanisms, including a decrease in antigen presence and presentation, or an increase in immune suppression mediated by the tumor and the tumor microenvironment (PMID: 35276342).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Afatinib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Non-Small Cell Lung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xml:space="preserve">EGFR T790M</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Gilotrif</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Kinase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ERBB2, ERBB4</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Afatinib (Gilotrif) is approved by the FDA as a first-line treatment for patients with metastatic non-small cell lung cancer (NSCLC) whose tumors have non-resistant </w:t>
            </w:r>
            <w:r>
              <w:rPr>
                <w:sz w:val="20"/>
                <w:szCs w:val="20"/>
                <w:i/>
              </w:rPr>
              <w:t xml:space="preserve">EGFR</w:t>
            </w:r>
            <w:r>
              <w:rPr>
                <w:sz w:val="20"/>
                <w:szCs w:val="20"/>
              </w:rPr>
              <w:t xml:space="preserve"> mutations as detected by an FDA-approved test, including classical </w:t>
            </w:r>
            <w:r>
              <w:rPr>
                <w:sz w:val="20"/>
                <w:szCs w:val="20"/>
                <w:i/>
              </w:rPr>
              <w:t xml:space="preserve">EGFR</w:t>
            </w:r>
            <w:r>
              <w:rPr>
                <w:sz w:val="20"/>
                <w:szCs w:val="20"/>
              </w:rPr>
              <w:t xml:space="preserve"> Ex19del or p.L858R activating mutations and uncommon sensitizing EGFR mutations such as p.G719X, p.S768I, and p.L861Q. Afatinib is also indicated for the treatment of patients with metastatic squamous NSCLC that has progressed following platinum-based chemotherapy.</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Afatinib</w:t>
            </w:r>
            <w:r w:rsidR="00F34A70" w:rsidRPr="00EF6D0A">
              <w:rPr>
                <w:b/>
                <w:color w:val="262626" w:themeColor="text1" w:themeTint="D9"/>
                <w:sz w:val="20"/>
                <w:szCs w:val="20"/>
              </w:rPr>
              <w:t xml:space="preserve"> Description: </w:t>
            </w:r>
            <w:r>
              <w:rPr>
                <w:sz w:val="20"/>
                <w:szCs w:val="20"/>
              </w:rPr>
              <w:t xml:space="preserve">Afatinib is an oral second-generation EGFR tyrosine kinase inhibitor (TKI) that targets the ERBB/HER family of receptors, including EGFR, ERBB2, and ERBB4 (PMID: 23493883). Afatinib covalently and irreversibly binds to the ATP-binding site of its target kinase (PMID: 18408761, 23493883).</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Diverse </w:t>
            </w:r>
            <w:r>
              <w:rPr>
                <w:sz w:val="20"/>
                <w:szCs w:val="20"/>
                <w:i/>
              </w:rPr>
              <w:t xml:space="preserve">EGFR</w:t>
            </w:r>
            <w:r>
              <w:rPr>
                <w:sz w:val="20"/>
                <w:szCs w:val="20"/>
              </w:rPr>
              <w:t xml:space="preserve">-dependent and </w:t>
            </w:r>
            <w:r>
              <w:rPr>
                <w:sz w:val="20"/>
                <w:szCs w:val="20"/>
                <w:i/>
              </w:rPr>
              <w:t xml:space="preserve">EGFR</w:t>
            </w:r>
            <w:r>
              <w:rPr>
                <w:sz w:val="20"/>
                <w:szCs w:val="20"/>
              </w:rPr>
              <w:t xml:space="preserve">-independent mechanisms of acquired resistance to first- and second-generation EGFR TKIs have been described (PMID: 28149837, 34638411). Common </w:t>
            </w:r>
            <w:r>
              <w:rPr>
                <w:sz w:val="20"/>
                <w:szCs w:val="20"/>
                <w:i/>
              </w:rPr>
              <w:t xml:space="preserve">EGFR</w:t>
            </w:r>
            <w:r>
              <w:rPr>
                <w:sz w:val="20"/>
                <w:szCs w:val="20"/>
              </w:rPr>
              <w:t xml:space="preserve">-independent mechanisms include acquired </w:t>
            </w:r>
            <w:r>
              <w:rPr>
                <w:sz w:val="20"/>
                <w:szCs w:val="20"/>
                <w:i/>
              </w:rPr>
              <w:t xml:space="preserve">MET</w:t>
            </w:r>
            <w:r>
              <w:rPr>
                <w:sz w:val="20"/>
                <w:szCs w:val="20"/>
              </w:rPr>
              <w:t xml:space="preserve"> or </w:t>
            </w:r>
            <w:r>
              <w:rPr>
                <w:sz w:val="20"/>
                <w:szCs w:val="20"/>
                <w:i/>
              </w:rPr>
              <w:t xml:space="preserve">ERBB2</w:t>
            </w:r>
            <w:r>
              <w:rPr>
                <w:sz w:val="20"/>
                <w:szCs w:val="20"/>
              </w:rPr>
              <w:t xml:space="preserve"> amplification, </w:t>
            </w:r>
            <w:r>
              <w:rPr>
                <w:sz w:val="20"/>
                <w:szCs w:val="20"/>
                <w:i/>
              </w:rPr>
              <w:t xml:space="preserve">ALK</w:t>
            </w:r>
            <w:r>
              <w:rPr>
                <w:sz w:val="20"/>
                <w:szCs w:val="20"/>
              </w:rPr>
              <w:t xml:space="preserve"> or </w:t>
            </w:r>
            <w:r>
              <w:rPr>
                <w:sz w:val="20"/>
                <w:szCs w:val="20"/>
                <w:i/>
              </w:rPr>
              <w:t xml:space="preserve">ROS1</w:t>
            </w:r>
            <w:r>
              <w:rPr>
                <w:sz w:val="20"/>
                <w:szCs w:val="20"/>
              </w:rPr>
              <w:t xml:space="preserve"> oncogenic fusions, hyperactivation of the MAPK and PI3K signaling pathways, epithelial mesenchymal transition and/or histologic transformation of non-small cell lung cancer to small cell lung cancer (PMID: 28149837, 34638411). The most common </w:t>
            </w:r>
            <w:r>
              <w:rPr>
                <w:sz w:val="20"/>
                <w:szCs w:val="20"/>
                <w:i/>
              </w:rPr>
              <w:t xml:space="preserve">EGFR</w:t>
            </w:r>
            <w:r>
              <w:rPr>
                <w:sz w:val="20"/>
                <w:szCs w:val="20"/>
              </w:rPr>
              <w:t xml:space="preserve">-dependent mechanism of afatinib resistance is acquisition of the </w:t>
            </w:r>
            <w:r>
              <w:rPr>
                <w:sz w:val="20"/>
                <w:szCs w:val="20"/>
                <w:i/>
              </w:rPr>
              <w:t xml:space="preserve">EGFR</w:t>
            </w:r>
            <w:r>
              <w:rPr>
                <w:sz w:val="20"/>
                <w:szCs w:val="20"/>
              </w:rPr>
              <w:t xml:space="preserve"> p.T790M gatekeeper mutation, which occurs in approximately 60% of NSCLC patients who progress or relapse on first-line therapy (PMID: 23470965, 28149837).</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Atezolizumab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Urothelial Carcinoma, Non-Small Cell Lung Cancer, Small Cell Lung Cancer, Hepatocellular Carcinoma, Melanoma </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Tecentriq</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Monoclonal Antibody, Immune Checkpoint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PD-L1</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Atezolizumab (Tecentriq) is FDA approved as a single-agent for the treatment of certain patients with urothelial cancer (PMID: 34184561, 33401585) and non-small cell lung cancer (NSCLC) (PMID: 35101885, 34104805). Atezolizumab is also approved to treat several cancer types as part of combination therapies with chemotherapy, targeted therapies, angiogenesis inhibitors, and others (PMID: 35062949, 31829747, 33427656, 35032007, 34956912, 35081747, 32534646, 35131452). </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Atezolizumab</w:t>
            </w:r>
            <w:r w:rsidR="00F34A70" w:rsidRPr="00EF6D0A">
              <w:rPr>
                <w:b/>
                <w:color w:val="262626" w:themeColor="text1" w:themeTint="D9"/>
                <w:sz w:val="20"/>
                <w:szCs w:val="20"/>
              </w:rPr>
              <w:t xml:space="preserve"> Description: </w:t>
            </w:r>
            <w:r>
              <w:rPr>
                <w:sz w:val="20"/>
                <w:szCs w:val="20"/>
              </w:rPr>
              <w:t xml:space="preserve">Atezolizumab is an injectable monoclonal antibody that belongs to the class of drugs called immune checkpoint inhibitors (PMID: 33256089). Atezolizumab targets PD-L1, an essential immune checkpoint protein that is often upregulated in cancer cells as a mechanism of immune evasion (PMID: 28878676).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Disease progression after treatment with immune checkpoint inhibitors, including atezolizumab, may occur due to diverse mechanisms, including a decrease in antigen presence and presentation, or an increase in immune suppression mediated by the tumor and the tumor microenvironment (PMID: 35276342).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Bevacizumab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Bowel, Peritoneal Neoplasm, Renal Cell Carcinoma, Glioblastoma, Non-Small Cell Lung Cancer, Ovarian Carcinoma, Cervical Carcinoma, Breast Carcinoma, Digestive System Neoplasm</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Mvasi, Avastin, Lextemy, Aybintio, Zirabev, Onbevzi, Oyavas, Equidacent, Bambevi, Abevmy, Alymsys</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Monoclonal Antibody</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VEGF</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Bevacizumab (Avastin) is FDA approved for single agent treatment or with chemotherapy for patients with various cancer types, including adults with recurrent glioblastoma that has progressed following prior therapy (PMID: 19897538), or persistent, recurrent, or metastatic cervical cancer (PMID: 27748633), among others (PMID: 15901587, 17602060, 20061402, 24687829, 28438473, 32305099, 22204724, 31216226).</w:t>
            </w:r>
            <w:r>
              <w:rPr>
                <w:sz w:val="20"/>
                <w:szCs w:val="20"/>
              </w:rPr>
              <w:t xml:space="preserve">Bevacizumab (Avastin) is also FDA approved as a combination therapy with atezolizumab (Tecentriq), an immune checkpoint inhibitor, and paclitaxel + carboplatin chemotherapy for first-line treatment of patients with metastatic non-squamous, non-small cell lung cancer with no EGFR or ALK genomic tumor aberrations (PMID: 29863955). Bevacizumab is also FDA approved as a combination therapy with atezolizumab for treatment of patients with unresectable or metastatic hepatocellular carcinoma who have not received prior systemic therapy (PMID: 34051880, 34189869). Bevacizumab is also FDA approved as a combination therapy with pembrolizumab, an immune checkpoint inhibitor, for treatment of patients with persistent, recurrent or metastatic cervical cancer whose tumors express PD-L1 (Combined Positive Score [CPS] ≥1) as determined by an FDA-approved test (PMID: 34534429).</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Bevacizumab</w:t>
            </w:r>
            <w:r w:rsidR="00F34A70" w:rsidRPr="00EF6D0A">
              <w:rPr>
                <w:b/>
                <w:color w:val="262626" w:themeColor="text1" w:themeTint="D9"/>
                <w:sz w:val="20"/>
                <w:szCs w:val="20"/>
              </w:rPr>
              <w:t xml:space="preserve"> Description: </w:t>
            </w:r>
            <w:r>
              <w:rPr>
                <w:sz w:val="20"/>
                <w:szCs w:val="20"/>
              </w:rPr>
              <w:t xml:space="preserve">Bevacizumab is a humanized anti-vascular endothelial-derived growth factor (anti-VEGF) monoclonal antibody administered by injection that functions as an angiogenesis inhibitor (PMID: 23419196, 20688807). Bevacizumab binds to circulating VEGF and blocks VEGF-receptor interaction, thereby preventing VEGF-mediated downstream signaling that promotes angiogenesis and tumor growth (PMID: 11970755, 25568148). The result is lower tissue interstitial pressure, increased vascular permeability, and increased apoptosis of tumor endothelial cells (PMID: 17212999).</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Disease progression in cancer patients treated with bevacizumab occurs by resistance mechanisms that are not fully elucidated, but appear to involve a return to hypoxic conditions that favor expression of pro-angiogenic factors such as VEGF and PDGF, and restoration of aberrant angiogenesis required to support tumor growth (PMID: 28386777, 32175278). These mechanisms may involve reestablishment of VEGF signaling and/or activation of alternative angiogenic pathways (28386777, 30253191).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Necitumumab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Squamous Non-Small Cell Lung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Portrazza</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Monoclonal Antibody</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 EGFR</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The FDA approved the use of necitumumab (Portrazza) in combination with chemotherapy for first-line treatment of patients with metastatic squamous non-small cell lung cancer (PMID:26045340, 26980471).</w:t>
            </w:r>
            <w:r>
              <w:rPr>
                <w:sz w:val="20"/>
                <w:szCs w:val="20"/>
              </w:rPr>
              <w:t xml:space="preserve"> </w:t>
            </w:r>
            <w:r>
              <w:rPr>
                <w:sz w:val="20"/>
                <w:szCs w:val="20"/>
              </w:rPr>
              <w:t xml:space="preserve"> </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Necitumumab</w:t>
            </w:r>
            <w:r w:rsidR="00F34A70" w:rsidRPr="00EF6D0A">
              <w:rPr>
                <w:b/>
                <w:color w:val="262626" w:themeColor="text1" w:themeTint="D9"/>
                <w:sz w:val="20"/>
                <w:szCs w:val="20"/>
              </w:rPr>
              <w:t xml:space="preserve"> Description: </w:t>
            </w:r>
            <w:r>
              <w:rPr>
                <w:sz w:val="20"/>
                <w:szCs w:val="20"/>
              </w:rPr>
              <w:t xml:space="preserve">Necitumumab (Portrazza) is an injectable fully human monoclonal antibody with antagonistic activity towards the epidermal growth factor receptor (EGFR) (PMID: 30075697, 33188892, 30025476). It binds to the extracellular domain of EGFR, blocking the interaction with endogenous ligands. As a result, necitumumab inhibits downstream pathways that lead to enhanced apoptosis and reduced cell proliferation, angiogenesis, invasiveness and metastasis (PMID: 20197484, 18275813).</w:t>
            </w:r>
            <w:r>
              <w:rPr>
                <w:sz w:val="20"/>
                <w:szCs w:val="20"/>
              </w:rPr>
              <w:t xml:space="preserve"> </w:t>
            </w:r>
            <w:r>
              <w:rPr>
                <w:sz w:val="20"/>
                <w:szCs w:val="20"/>
              </w:rPr>
              <w:t xml:space="preserve"> </w:t>
            </w:r>
            <w:r>
              <w:rPr>
                <w:sz w:val="20"/>
                <w:szCs w:val="20"/>
              </w:rPr>
              <w:t xml:space="preserve"> </w:t>
            </w:r>
            <w:r>
              <w:rPr>
                <w:sz w:val="20"/>
                <w:szCs w:val="20"/>
              </w:rPr>
              <w:t xml:space="preserve">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Disease progression after treatment with necitumumab may occur due to EGFR/EGFR ligand overexpression, mutations in EGFR, or activation of alternative signaling pathways, among others (PMID: 31228284, 32793499).</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Ramucirumab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Gastric or Gastro-Esophageal Junction Adenocarcinoma, Non-Small Cell Lung Cancer, Colorectal Cancer, and Hepatocellular Carcinoma </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Cyramza</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Monoclonal Antibody</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KDR (VEGFR2) </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Ramucirumab (Cyramza) is FDA/EMA approved as single-agent, or in association with chemotherapy, for patients with various cancer types including advanced or metastatic gastric or gastro-esophageal junction adenocarcinoma, metastatic non-small cell lung cancer (NSCLC), metastatic colorectal cancer, and hepatocellular carcinoma (PMID: 24094768, 25240821, 24933332, 25877855). </w:t>
            </w:r>
            <w:r>
              <w:rPr>
                <w:sz w:val="20"/>
                <w:szCs w:val="20"/>
              </w:rPr>
              <w:t xml:space="preserve">Ramucirumab is approved in combination with erlotinib (Tarceva) an oral tyrosine kinase inhibitor targeting EGFR, for patients with untreated, EGFR-mutated metastatic NSCLC (PMID: 31591063).  </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Ramucirumab</w:t>
            </w:r>
            <w:r w:rsidR="00F34A70" w:rsidRPr="00EF6D0A">
              <w:rPr>
                <w:b/>
                <w:color w:val="262626" w:themeColor="text1" w:themeTint="D9"/>
                <w:sz w:val="20"/>
                <w:szCs w:val="20"/>
              </w:rPr>
              <w:t xml:space="preserve"> Description: </w:t>
            </w:r>
            <w:r>
              <w:rPr>
                <w:sz w:val="20"/>
                <w:szCs w:val="20"/>
              </w:rPr>
              <w:t xml:space="preserve">Ramucirumab is an injectable fully human antiangiogenic IgG1 monoclonal antibody that selectively targets KDR (VEGFR2) (PMID: 23718298, 30314524).  Ramucirumab binds to the extracellular domain of KDR with high affinity, blocking interaction with natural ligands VEGFA/C/D (PMID: 32371296).  The result is a reduction in tumor vascularity and growth (PMID: 27306885).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Disease progression in cancer patients treated with ramucirumab, a selective inhibitor of KDR (VEGFR2)-mediated angiogenesis, has been attributed primarily to angiogenic escape involving compensatory activation of alternate pro-angiogenic pathways that include receptors FLT1 (VEGFR1), FLT4 (VEGFR3), PDGFR and FGFR, among others (PMID: 23803182, 27306885).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Osimertinib</w:t>
            </w:r>
          </w:p>
          <w:p w14:paraId="5694FDE5" w14:textId="6C472F20" w:rsidR="00F34A70" w:rsidRDefault="00321B21" w:rsidP="00185FA7">
            <w:pPr>
              <w:widowControl w:val="0"/>
            </w:pPr>
            <w:r>
              <w:t xml:space="preserve">FDA Approved Therapy For Patient Tumor Type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Non-Small Cell Lung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xml:space="preserve">EGFR T790M</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Tagrisso</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Kinase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EGFR p.T790M</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Osimertinib (Tagrisso) is FDA approved as a first-line treatment for patients with unresectable or metastatic non-small cell lung cancer (NSCLC) whose tumors harbor </w:t>
            </w:r>
            <w:r>
              <w:rPr>
                <w:sz w:val="20"/>
                <w:szCs w:val="20"/>
                <w:i/>
              </w:rPr>
              <w:t xml:space="preserve">EGFR</w:t>
            </w:r>
            <w:r>
              <w:rPr>
                <w:sz w:val="20"/>
                <w:szCs w:val="20"/>
              </w:rPr>
              <w:t xml:space="preserve"> Ex19del or p.L858R mutations and is the preferred first-line therapy for NSCLC patients with </w:t>
            </w:r>
            <w:r>
              <w:rPr>
                <w:sz w:val="20"/>
                <w:szCs w:val="20"/>
                <w:i/>
              </w:rPr>
              <w:t xml:space="preserve">EGFR</w:t>
            </w:r>
            <w:r>
              <w:rPr>
                <w:sz w:val="20"/>
                <w:szCs w:val="20"/>
              </w:rPr>
              <w:t xml:space="preserve"> sensitizing mutations (NCCN Guidelines for NSCLC). It is also indicated for the treatment of patients with </w:t>
            </w:r>
            <w:r>
              <w:rPr>
                <w:sz w:val="20"/>
                <w:szCs w:val="20"/>
                <w:i/>
              </w:rPr>
              <w:t xml:space="preserve">EGFR</w:t>
            </w:r>
            <w:r>
              <w:rPr>
                <w:sz w:val="20"/>
                <w:szCs w:val="20"/>
              </w:rPr>
              <w:t xml:space="preserve"> p.T790M mutation-positive NSCLC who have progressed on or after prior EGFR tyrosine kinase inhibitor (TKI) therapy and as an adjuvant treatment after tumor resection in patients with early-stage NSCLC whose tumors have </w:t>
            </w:r>
            <w:r>
              <w:rPr>
                <w:sz w:val="20"/>
                <w:szCs w:val="20"/>
                <w:i/>
              </w:rPr>
              <w:t xml:space="preserve">EGFR</w:t>
            </w:r>
            <w:r>
              <w:rPr>
                <w:sz w:val="20"/>
                <w:szCs w:val="20"/>
              </w:rPr>
              <w:t xml:space="preserve"> Ex19del or p.L858R mutations.</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Osimertinib</w:t>
            </w:r>
            <w:r w:rsidR="00F34A70" w:rsidRPr="00EF6D0A">
              <w:rPr>
                <w:b/>
                <w:color w:val="262626" w:themeColor="text1" w:themeTint="D9"/>
                <w:sz w:val="20"/>
                <w:szCs w:val="20"/>
              </w:rPr>
              <w:t xml:space="preserve"> Description: </w:t>
            </w:r>
            <w:r>
              <w:rPr>
                <w:sz w:val="20"/>
                <w:szCs w:val="20"/>
              </w:rPr>
              <w:t xml:space="preserve">Osimertinib is a third-generation EGFR TKI that selectively inhibits sensitizing </w:t>
            </w:r>
            <w:r>
              <w:rPr>
                <w:sz w:val="20"/>
                <w:szCs w:val="20"/>
                <w:i/>
              </w:rPr>
              <w:t xml:space="preserve">EGFR</w:t>
            </w:r>
            <w:r>
              <w:rPr>
                <w:sz w:val="20"/>
                <w:szCs w:val="20"/>
              </w:rPr>
              <w:t xml:space="preserve"> mutations and the common </w:t>
            </w:r>
            <w:r>
              <w:rPr>
                <w:sz w:val="20"/>
                <w:szCs w:val="20"/>
                <w:i/>
              </w:rPr>
              <w:t xml:space="preserve">EGFR</w:t>
            </w:r>
            <w:r>
              <w:rPr>
                <w:sz w:val="20"/>
                <w:szCs w:val="20"/>
              </w:rPr>
              <w:t xml:space="preserve"> p.T790M gatekeeper resistance mutation with minimal activity against wild-type EGFR (PMID: 24893891, 33392095). Osimertinib irreversibly inhibits EGFR by forming a covalent bond with </w:t>
            </w:r>
            <w:r>
              <w:rPr>
                <w:sz w:val="20"/>
                <w:szCs w:val="20"/>
                <w:i/>
              </w:rPr>
              <w:t xml:space="preserve">EGFR</w:t>
            </w:r>
            <w:r>
              <w:rPr>
                <w:sz w:val="20"/>
                <w:szCs w:val="20"/>
              </w:rPr>
              <w:t xml:space="preserve"> codon Cys797 within the ATP binding site of mutant EGFR (PMID: 24893891).</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Diverse </w:t>
            </w:r>
            <w:r>
              <w:rPr>
                <w:sz w:val="20"/>
                <w:szCs w:val="20"/>
                <w:i/>
              </w:rPr>
              <w:t xml:space="preserve">EGFR</w:t>
            </w:r>
            <w:r>
              <w:rPr>
                <w:sz w:val="20"/>
                <w:szCs w:val="20"/>
              </w:rPr>
              <w:t xml:space="preserve">-dependent and </w:t>
            </w:r>
            <w:r>
              <w:rPr>
                <w:sz w:val="20"/>
                <w:szCs w:val="20"/>
                <w:i/>
              </w:rPr>
              <w:t xml:space="preserve">EGFR</w:t>
            </w:r>
            <w:r>
              <w:rPr>
                <w:sz w:val="20"/>
                <w:szCs w:val="20"/>
              </w:rPr>
              <w:t xml:space="preserve">-independent mechanisms of osimertinib resistance have been described (PMID: 31564718). Common </w:t>
            </w:r>
            <w:r>
              <w:rPr>
                <w:sz w:val="20"/>
                <w:szCs w:val="20"/>
                <w:i/>
              </w:rPr>
              <w:t xml:space="preserve">EGFR</w:t>
            </w:r>
            <w:r>
              <w:rPr>
                <w:sz w:val="20"/>
                <w:szCs w:val="20"/>
              </w:rPr>
              <w:t xml:space="preserve">-independent mechanisms include acquired </w:t>
            </w:r>
            <w:r>
              <w:rPr>
                <w:sz w:val="20"/>
                <w:szCs w:val="20"/>
                <w:i/>
              </w:rPr>
              <w:t xml:space="preserve">MET</w:t>
            </w:r>
            <w:r>
              <w:rPr>
                <w:sz w:val="20"/>
                <w:szCs w:val="20"/>
              </w:rPr>
              <w:t xml:space="preserve"> or </w:t>
            </w:r>
            <w:r>
              <w:rPr>
                <w:sz w:val="20"/>
                <w:szCs w:val="20"/>
                <w:i/>
              </w:rPr>
              <w:t xml:space="preserve">ERBB2</w:t>
            </w:r>
            <w:r>
              <w:rPr>
                <w:sz w:val="20"/>
                <w:szCs w:val="20"/>
              </w:rPr>
              <w:t xml:space="preserve"> amplification, </w:t>
            </w:r>
            <w:r>
              <w:rPr>
                <w:sz w:val="20"/>
                <w:szCs w:val="20"/>
                <w:i/>
              </w:rPr>
              <w:t xml:space="preserve">ALK</w:t>
            </w:r>
            <w:r>
              <w:rPr>
                <w:sz w:val="20"/>
                <w:szCs w:val="20"/>
              </w:rPr>
              <w:t xml:space="preserve"> or </w:t>
            </w:r>
            <w:r>
              <w:rPr>
                <w:sz w:val="20"/>
                <w:szCs w:val="20"/>
                <w:i/>
              </w:rPr>
              <w:t xml:space="preserve">ROS1</w:t>
            </w:r>
            <w:r>
              <w:rPr>
                <w:sz w:val="20"/>
                <w:szCs w:val="20"/>
              </w:rPr>
              <w:t xml:space="preserve"> oncogenic fusions, hyperactivation of the MAPK and PI3K signaling pathways, epithelial-mesenchymal transition and/or histologic transformation of non-small cell lung cancer to small cell lung cancer (PMID: 31564718). The most common </w:t>
            </w:r>
            <w:r>
              <w:rPr>
                <w:sz w:val="20"/>
                <w:szCs w:val="20"/>
                <w:i/>
              </w:rPr>
              <w:t xml:space="preserve">EGFR</w:t>
            </w:r>
            <w:r>
              <w:rPr>
                <w:sz w:val="20"/>
                <w:szCs w:val="20"/>
              </w:rPr>
              <w:t xml:space="preserve">-dependent mechanism of simertinib resistance is the acquisition of missense substitutions at </w:t>
            </w:r>
            <w:r>
              <w:rPr>
                <w:sz w:val="20"/>
                <w:szCs w:val="20"/>
                <w:i/>
              </w:rPr>
              <w:t xml:space="preserve">EGFR</w:t>
            </w:r>
            <w:r>
              <w:rPr>
                <w:sz w:val="20"/>
                <w:szCs w:val="20"/>
              </w:rPr>
              <w:t xml:space="preserve"> codon Cys797, which block simertinib binding to the EGFR kinase domain (PMID: 30128066, 31564718).</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Dacomitinib</w:t>
            </w:r>
          </w:p>
          <w:p w14:paraId="5694FDE5" w14:textId="6C472F20" w:rsidR="00F34A70" w:rsidRDefault="00321B21" w:rsidP="00185FA7">
            <w:pPr>
              <w:widowControl w:val="0"/>
            </w:pPr>
            <w:r>
              <w:t xml:space="preserve">Therapy of Potential Significance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Non-Small Cell Lung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xml:space="preserve">EGFR T790M</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Vizimpro</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Kinase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EGFR, ERBB2, ERBB4  </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Dacomitinib (Vizimpro) is approved by the FDA as a first-line treatment for patients with metastatic non-small cell lung cancer (NSCLC) whose tumors have </w:t>
            </w:r>
            <w:r>
              <w:rPr>
                <w:sz w:val="20"/>
                <w:szCs w:val="20"/>
                <w:i/>
              </w:rPr>
              <w:t xml:space="preserve">EGFR</w:t>
            </w:r>
            <w:r>
              <w:rPr>
                <w:sz w:val="20"/>
                <w:szCs w:val="20"/>
              </w:rPr>
              <w:t xml:space="preserve"> exon 19 deletion (Ex19del) or p.L858R mutations.</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Dacomitinib</w:t>
            </w:r>
            <w:r w:rsidR="00F34A70" w:rsidRPr="00EF6D0A">
              <w:rPr>
                <w:b/>
                <w:color w:val="262626" w:themeColor="text1" w:themeTint="D9"/>
                <w:sz w:val="20"/>
                <w:szCs w:val="20"/>
              </w:rPr>
              <w:t xml:space="preserve"> Description: </w:t>
            </w:r>
            <w:r>
              <w:rPr>
                <w:sz w:val="20"/>
                <w:szCs w:val="20"/>
              </w:rPr>
              <w:t xml:space="preserve">Dacomitinib is an oral second-generation EGFR tyrosine kinase inhibitor (TKI) that targets the ERBB/HER family of receptors, including EGFR, ERBB2, and ERBB4 (PMID: 23493883). Dacomitinib covalently and irreversibly binds to the ATP-binding site of its target kinase (PMID: 18089823, 23493883).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Diverse </w:t>
            </w:r>
            <w:r>
              <w:rPr>
                <w:sz w:val="20"/>
                <w:szCs w:val="20"/>
                <w:i/>
              </w:rPr>
              <w:t xml:space="preserve">EGFR</w:t>
            </w:r>
            <w:r>
              <w:rPr>
                <w:sz w:val="20"/>
                <w:szCs w:val="20"/>
              </w:rPr>
              <w:t xml:space="preserve">-dependent and </w:t>
            </w:r>
            <w:r>
              <w:rPr>
                <w:sz w:val="20"/>
                <w:szCs w:val="20"/>
                <w:i/>
              </w:rPr>
              <w:t xml:space="preserve">EGFR</w:t>
            </w:r>
            <w:r>
              <w:rPr>
                <w:sz w:val="20"/>
                <w:szCs w:val="20"/>
              </w:rPr>
              <w:t xml:space="preserve">-independent mechanisms of acquired resistance to first- and second-generation EGFR TKIs have been described (PMID: 28149837, 34638411). Common </w:t>
            </w:r>
            <w:r>
              <w:rPr>
                <w:sz w:val="20"/>
                <w:szCs w:val="20"/>
                <w:i/>
              </w:rPr>
              <w:t xml:space="preserve">EGFR</w:t>
            </w:r>
            <w:r>
              <w:rPr>
                <w:sz w:val="20"/>
                <w:szCs w:val="20"/>
              </w:rPr>
              <w:t xml:space="preserve">-independent mechanisms include acquired </w:t>
            </w:r>
            <w:r>
              <w:rPr>
                <w:sz w:val="20"/>
                <w:szCs w:val="20"/>
                <w:i/>
              </w:rPr>
              <w:t xml:space="preserve">MET</w:t>
            </w:r>
            <w:r>
              <w:rPr>
                <w:sz w:val="20"/>
                <w:szCs w:val="20"/>
              </w:rPr>
              <w:t xml:space="preserve"> or </w:t>
            </w:r>
            <w:r>
              <w:rPr>
                <w:sz w:val="20"/>
                <w:szCs w:val="20"/>
                <w:i/>
              </w:rPr>
              <w:t xml:space="preserve">ERBB2</w:t>
            </w:r>
            <w:r>
              <w:rPr>
                <w:sz w:val="20"/>
                <w:szCs w:val="20"/>
              </w:rPr>
              <w:t xml:space="preserve"> amplification, </w:t>
            </w:r>
            <w:r>
              <w:rPr>
                <w:sz w:val="20"/>
                <w:szCs w:val="20"/>
                <w:i/>
              </w:rPr>
              <w:t xml:space="preserve">ALK</w:t>
            </w:r>
            <w:r>
              <w:rPr>
                <w:sz w:val="20"/>
                <w:szCs w:val="20"/>
              </w:rPr>
              <w:t xml:space="preserve"> or </w:t>
            </w:r>
            <w:r>
              <w:rPr>
                <w:sz w:val="20"/>
                <w:szCs w:val="20"/>
                <w:i/>
              </w:rPr>
              <w:t xml:space="preserve">ROS1</w:t>
            </w:r>
            <w:r>
              <w:rPr>
                <w:sz w:val="20"/>
                <w:szCs w:val="20"/>
              </w:rPr>
              <w:t xml:space="preserve"> oncogenic fusions, hyperactivation of the MAPK and PI3K signaling pathways, epithelial mesenchymal transition and/or histologic transformation of non-small cell lung cancer to small cell lung cancer (PMID: 28149837, 34638411). The most common </w:t>
            </w:r>
            <w:r>
              <w:rPr>
                <w:sz w:val="20"/>
                <w:szCs w:val="20"/>
                <w:i/>
              </w:rPr>
              <w:t xml:space="preserve">EGFR</w:t>
            </w:r>
            <w:r>
              <w:rPr>
                <w:sz w:val="20"/>
                <w:szCs w:val="20"/>
              </w:rPr>
              <w:t xml:space="preserve">-dependent mechanism of dacomitinib resistance is acquisition of the </w:t>
            </w:r>
            <w:r>
              <w:rPr>
                <w:sz w:val="20"/>
                <w:szCs w:val="20"/>
                <w:i/>
              </w:rPr>
              <w:t xml:space="preserve">EGFR</w:t>
            </w:r>
            <w:r>
              <w:rPr>
                <w:sz w:val="20"/>
                <w:szCs w:val="20"/>
              </w:rPr>
              <w:t xml:space="preserve"> p.T790M gatekeeper mutation, which occurs in approximately 60% of NSCLC patients who progress or relapse on first-line therapy (PMID: 23470965, 28149837).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Erlotinib</w:t>
            </w:r>
          </w:p>
          <w:p w14:paraId="5694FDE5" w14:textId="6C472F20" w:rsidR="00F34A70" w:rsidRDefault="00321B21" w:rsidP="00185FA7">
            <w:pPr>
              <w:widowControl w:val="0"/>
            </w:pPr>
            <w:r>
              <w:t xml:space="preserve">Therapy of Potential Significance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Non-Small Cell Lung Cancer, Pancreatic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xml:space="preserve">EGFR T790M</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Tarceva</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Kinase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EGFR</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Erlotinib (Tarceva) is FDA approved for the treatment of patients with metastatic non-small cell lung cancer (NSCLC) whose tumors have </w:t>
            </w:r>
            <w:r>
              <w:rPr>
                <w:sz w:val="20"/>
                <w:szCs w:val="20"/>
                <w:i/>
              </w:rPr>
              <w:t xml:space="preserve">EGFR</w:t>
            </w:r>
            <w:r>
              <w:rPr>
                <w:sz w:val="20"/>
                <w:szCs w:val="20"/>
              </w:rPr>
              <w:t xml:space="preserve"> exon 19 deletions (Ex19del) or the exon 21 p.L858R substitution and are receiving first-line, maintenance, or second- or greater-line treatment after progression on at least one prior chemotherapy regimen. Erlotinib is also indicated in combination with gemcitabine as a first-line treatment for patients with locally advanced, unresectable, or metastatic pancreatic cancer. </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Erlotinib</w:t>
            </w:r>
            <w:r w:rsidR="00F34A70" w:rsidRPr="00EF6D0A">
              <w:rPr>
                <w:b/>
                <w:color w:val="262626" w:themeColor="text1" w:themeTint="D9"/>
                <w:sz w:val="20"/>
                <w:szCs w:val="20"/>
              </w:rPr>
              <w:t xml:space="preserve"> Description: </w:t>
            </w:r>
            <w:r>
              <w:rPr>
                <w:sz w:val="20"/>
                <w:szCs w:val="20"/>
              </w:rPr>
              <w:t xml:space="preserve">Erlotinib is an oral first-generation EGFR tyrosine kinase inhibitor (TKI) that binds competitively and reversibly to the ATP-binding site of the EGFR tyrosine kinase domain (PMID: 12850190).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Diverse </w:t>
            </w:r>
            <w:r>
              <w:rPr>
                <w:sz w:val="20"/>
                <w:szCs w:val="20"/>
                <w:i/>
              </w:rPr>
              <w:t xml:space="preserve">EGFR</w:t>
            </w:r>
            <w:r>
              <w:rPr>
                <w:sz w:val="20"/>
                <w:szCs w:val="20"/>
              </w:rPr>
              <w:t xml:space="preserve">-dependent and </w:t>
            </w:r>
            <w:r>
              <w:rPr>
                <w:sz w:val="20"/>
                <w:szCs w:val="20"/>
                <w:i/>
              </w:rPr>
              <w:t xml:space="preserve">EGFR</w:t>
            </w:r>
            <w:r>
              <w:rPr>
                <w:sz w:val="20"/>
                <w:szCs w:val="20"/>
              </w:rPr>
              <w:t xml:space="preserve">-independent mechanisms of acquired resistance to first- and second-generation EGFR TKIs have been described (PMID: 28149837, 34638411). Common </w:t>
            </w:r>
            <w:r>
              <w:rPr>
                <w:sz w:val="20"/>
                <w:szCs w:val="20"/>
                <w:i/>
              </w:rPr>
              <w:t xml:space="preserve">EGFR</w:t>
            </w:r>
            <w:r>
              <w:rPr>
                <w:sz w:val="20"/>
                <w:szCs w:val="20"/>
              </w:rPr>
              <w:t xml:space="preserve">-independent mechanisms include acquired </w:t>
            </w:r>
            <w:r>
              <w:rPr>
                <w:sz w:val="20"/>
                <w:szCs w:val="20"/>
                <w:i/>
              </w:rPr>
              <w:t xml:space="preserve">MET</w:t>
            </w:r>
            <w:r>
              <w:rPr>
                <w:sz w:val="20"/>
                <w:szCs w:val="20"/>
              </w:rPr>
              <w:t xml:space="preserve"> or </w:t>
            </w:r>
            <w:r>
              <w:rPr>
                <w:sz w:val="20"/>
                <w:szCs w:val="20"/>
                <w:i/>
              </w:rPr>
              <w:t xml:space="preserve">ERBB2</w:t>
            </w:r>
            <w:r>
              <w:rPr>
                <w:sz w:val="20"/>
                <w:szCs w:val="20"/>
              </w:rPr>
              <w:t xml:space="preserve"> amplification, </w:t>
            </w:r>
            <w:r>
              <w:rPr>
                <w:sz w:val="20"/>
                <w:szCs w:val="20"/>
                <w:i/>
              </w:rPr>
              <w:t xml:space="preserve">ALK</w:t>
            </w:r>
            <w:r>
              <w:rPr>
                <w:sz w:val="20"/>
                <w:szCs w:val="20"/>
              </w:rPr>
              <w:t xml:space="preserve"> or </w:t>
            </w:r>
            <w:r>
              <w:rPr>
                <w:sz w:val="20"/>
                <w:szCs w:val="20"/>
                <w:i/>
              </w:rPr>
              <w:t xml:space="preserve">ROS1</w:t>
            </w:r>
            <w:r>
              <w:rPr>
                <w:sz w:val="20"/>
                <w:szCs w:val="20"/>
              </w:rPr>
              <w:t xml:space="preserve"> oncogenic fusions, hyperactivation of the MAPK and PI3K signaling pathways, epithelial-mesenchymal transition and/or histologic transformation of non-small cell lung cancer to small cell lung cancer (PMID: 28149837, 34638411). The most common </w:t>
            </w:r>
            <w:r>
              <w:rPr>
                <w:sz w:val="20"/>
                <w:szCs w:val="20"/>
                <w:i/>
              </w:rPr>
              <w:t xml:space="preserve">EGFR</w:t>
            </w:r>
            <w:r>
              <w:rPr>
                <w:sz w:val="20"/>
                <w:szCs w:val="20"/>
              </w:rPr>
              <w:t xml:space="preserve">-dependent mechanism of erlotinib resistance is acquisition of the </w:t>
            </w:r>
            <w:r>
              <w:rPr>
                <w:sz w:val="20"/>
                <w:szCs w:val="20"/>
                <w:i/>
              </w:rPr>
              <w:t xml:space="preserve">EGFR</w:t>
            </w:r>
            <w:r>
              <w:rPr>
                <w:sz w:val="20"/>
                <w:szCs w:val="20"/>
              </w:rPr>
              <w:t xml:space="preserve"> p.T790M gatekeeper mutation, which occurs in approximately 60% of NSCLC patients who progress or relapse on first-line therapy (PMID: 23470965, 28149837).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r w:rsidR="00F34A70" w14:paraId="2825C035" w14:textId="77777777" w:rsidTr="00185FA7">
        <w:trPr>
          <w:trHeight w:val="755"/>
        </w:trPr>
        <w:tc>
          <w:tcPr>
            <w:tcW w:w="2880" w:type="dxa"/>
            <w:tcBorders>
              <w:top w:val="single" w:sz="4" w:space="0" w:color="auto"/>
            </w:tcBorders>
          </w:tcPr>
          <w:p w14:paraId="5C702DAC" w14:textId="56EE8BD0" w:rsidR="00F34A70" w:rsidRDefault="00321B21" w:rsidP="00185FA7">
            <w:pPr>
              <w:widowControl w:val="0"/>
              <w:rPr>
                <w:b/>
                <w:i/>
                <w:color w:val="262626" w:themeColor="text1" w:themeTint="D9"/>
                <w:sz w:val="28"/>
                <w:szCs w:val="28"/>
              </w:rPr>
            </w:pPr>
            <w:r>
              <w:rPr>
                <w:b/>
                <w:i/>
                <w:color w:val="262626" w:themeColor="text1" w:themeTint="D9"/>
                <w:sz w:val="28"/>
                <w:szCs w:val="28"/>
              </w:rPr>
              <w:lastRenderedPageBreak/>
              <w:t/>
            </w:r>
            <w:r w:rsidRPr="00321B21">
              <w:rPr>
                <w:b/>
                <w:i/>
                <w:color w:val="262626" w:themeColor="text1" w:themeTint="D9"/>
                <w:sz w:val="28"/>
                <w:szCs w:val="28"/>
              </w:rPr>
              <w:t/>
            </w:r>
            <w:r>
              <w:rPr>
                <w:b/>
                <w:i/>
                <w:color w:val="262626" w:themeColor="text1" w:themeTint="D9"/>
                <w:sz w:val="28"/>
                <w:szCs w:val="28"/>
              </w:rPr>
              <w:t xml:space="preserve">Gefitinib</w:t>
            </w:r>
          </w:p>
          <w:p w14:paraId="5694FDE5" w14:textId="6C472F20" w:rsidR="00F34A70" w:rsidRDefault="00321B21" w:rsidP="00185FA7">
            <w:pPr>
              <w:widowControl w:val="0"/>
            </w:pPr>
            <w:r>
              <w:t xml:space="preserve">Therapy of Potential Significance</w:t>
            </w:r>
            <w:proofErr w:type="spellStart"/>
            <w:r>
              <w:t/>
            </w:r>
            <w:proofErr w:type="spellEnd"/>
            <w:r>
              <w:t/>
            </w:r>
          </w:p>
          <w:p w14:paraId="2EFB7402" w14:textId="77777777" w:rsidR="00B818DB" w:rsidRDefault="00B818DB" w:rsidP="00185FA7">
            <w:pPr>
              <w:widowControl w:val="0"/>
              <w:rPr>
                <w:color w:val="7F7F7F" w:themeColor="text1" w:themeTint="80"/>
                <w:sz w:val="20"/>
                <w:szCs w:val="20"/>
              </w:rPr>
            </w:pPr>
          </w:p>
          <w:p w14:paraId="7281991A" w14:textId="77777777" w:rsidR="00B818DB" w:rsidRDefault="00B818DB" w:rsidP="00B818DB">
            <w:pPr>
              <w:widowControl w:val="0"/>
              <w:rPr>
                <w:bCs/>
                <w:color w:val="7F7F7F" w:themeColor="text1" w:themeTint="80"/>
                <w:sz w:val="20"/>
                <w:szCs w:val="20"/>
              </w:rPr>
            </w:pPr>
            <w:r w:rsidRPr="00B818DB">
              <w:rPr>
                <w:bCs/>
                <w:color w:val="7F7F7F" w:themeColor="text1" w:themeTint="80"/>
                <w:sz w:val="20"/>
                <w:szCs w:val="20"/>
              </w:rPr>
              <w:t xml:space="preserve">Approved for: </w:t>
            </w:r>
          </w:p>
          <w:p w14:paraId="2CDD0EF0" w14:textId="608ED8B7" w:rsidR="00F34A70" w:rsidRPr="00B818DB" w:rsidRDefault="00321B21" w:rsidP="00B818DB">
            <w:pPr>
              <w:widowControl w:val="0"/>
              <w:rPr>
                <w:bCs/>
                <w:color w:val="7F7F7F" w:themeColor="text1" w:themeTint="80"/>
                <w:sz w:val="20"/>
                <w:szCs w:val="20"/>
              </w:rPr>
            </w:pPr>
            <w:r>
              <w:rPr>
                <w:bCs/>
                <w:color w:val="000000" w:themeColor="text1"/>
                <w:sz w:val="20"/>
                <w:szCs w:val="20"/>
              </w:rPr>
              <w:t xml:space="preserve">Non-Small Cell Lung Cancer</w:t>
            </w:r>
          </w:p>
          <w:p w14:paraId="16770E98" w14:textId="77777777" w:rsidR="00F34A70" w:rsidRPr="00321B21" w:rsidRDefault="00F34A70" w:rsidP="00185FA7">
            <w:pPr>
              <w:widowControl w:val="0"/>
              <w:spacing w:before="200"/>
              <w:rPr>
                <w:color w:val="7F7F7F" w:themeColor="text1" w:themeTint="80"/>
                <w:sz w:val="20"/>
                <w:szCs w:val="20"/>
              </w:rPr>
            </w:pPr>
            <w:r w:rsidRPr="00321B21">
              <w:rPr>
                <w:color w:val="7F7F7F" w:themeColor="text1" w:themeTint="80"/>
                <w:sz w:val="20"/>
                <w:szCs w:val="20"/>
              </w:rPr>
              <w:t xml:space="preserve">Relevant Biomarker:</w:t>
            </w:r>
          </w:p>
          <w:p w14:paraId="707791F7" w14:textId="23AFB9A0" w:rsidR="00F34A70" w:rsidRPr="00321B21" w:rsidRDefault="00321B21" w:rsidP="00185FA7">
            <w:pPr>
              <w:widowControl w:val="0"/>
              <w:rPr>
                <w:color w:val="7F7F7F" w:themeColor="text1" w:themeTint="80"/>
                <w:sz w:val="20"/>
                <w:szCs w:val="20"/>
              </w:rPr>
            </w:pPr>
            <w:r w:rsidRPr="00321B21">
              <w:rPr>
                <w:color w:val="000000" w:themeColor="text1"/>
                <w:sz w:val="24"/>
                <w:szCs w:val="24"/>
              </w:rPr>
              <w:t xml:space="preserve">EGFR T790M</w:t>
            </w:r>
            <w:r>
              <w:rPr>
                <w:color w:val="000000" w:themeColor="text1"/>
                <w:sz w:val="24"/>
                <w:szCs w:val="24"/>
              </w:rPr>
              <w:t/>
            </w:r>
          </w:p>
          <w:p w14:paraId="3627AC23" w14:textId="77777777" w:rsidR="00F34A70" w:rsidRPr="00321B21" w:rsidRDefault="00F34A70" w:rsidP="00185FA7">
            <w:pPr>
              <w:widowControl w:val="0"/>
              <w:rPr>
                <w:color w:val="7F7F7F" w:themeColor="text1" w:themeTint="80"/>
                <w:sz w:val="20"/>
                <w:szCs w:val="20"/>
              </w:rPr>
            </w:pPr>
          </w:p>
          <w:p w14:paraId="2B039AD9" w14:textId="77777777" w:rsidR="00F34A70" w:rsidRPr="00A820FA" w:rsidRDefault="00F34A70" w:rsidP="00185FA7">
            <w:pPr>
              <w:widowControl w:val="0"/>
              <w:rPr>
                <w:color w:val="7F7F7F" w:themeColor="text1" w:themeTint="80"/>
                <w:sz w:val="20"/>
                <w:szCs w:val="20"/>
                <w:lang w:val="fr-FR"/>
              </w:rPr>
            </w:pPr>
            <w:r w:rsidRPr="00A820FA">
              <w:rPr>
                <w:color w:val="7F7F7F" w:themeColor="text1" w:themeTint="80"/>
                <w:sz w:val="20"/>
                <w:szCs w:val="20"/>
                <w:lang w:val="fr-FR"/>
              </w:rPr>
              <w:t xml:space="preserve">Commercial Labels:</w:t>
            </w:r>
          </w:p>
          <w:p w14:paraId="44585265" w14:textId="43B9B054" w:rsidR="00F34A70" w:rsidRPr="00A820FA" w:rsidRDefault="00321B21" w:rsidP="00185FA7">
            <w:pPr>
              <w:widowControl w:val="0"/>
              <w:rPr>
                <w:color w:val="7F7F7F" w:themeColor="text1" w:themeTint="80"/>
                <w:sz w:val="20"/>
                <w:szCs w:val="20"/>
                <w:lang w:val="fr-FR"/>
              </w:rPr>
            </w:pPr>
            <w:r>
              <w:t xml:space="preserve">Iressa</w:t>
            </w:r>
          </w:p>
        </w:tc>
        <w:tc>
          <w:tcPr>
            <w:tcW w:w="8095" w:type="dxa"/>
            <w:tcBorders>
              <w:top w:val="single" w:sz="4" w:space="0" w:color="auto"/>
            </w:tcBorders>
          </w:tcPr>
          <w:p w14:paraId="0B5DC52F" w14:textId="77777777" w:rsidR="00F34A70" w:rsidRPr="00BB0F22" w:rsidRDefault="00F34A70" w:rsidP="00185FA7">
            <w:pPr>
              <w:widowControl w:val="0"/>
              <w:rPr>
                <w:b/>
                <w:color w:val="262626" w:themeColor="text1" w:themeTint="D9"/>
                <w:sz w:val="20"/>
                <w:szCs w:val="20"/>
              </w:rPr>
            </w:pPr>
          </w:p>
          <w:p w14:paraId="27626368" w14:textId="2A94A04B" w:rsidR="00F34A70" w:rsidRPr="00EF6D0A" w:rsidRDefault="00F34A70" w:rsidP="00185FA7">
            <w:pPr>
              <w:widowControl w:val="0"/>
              <w:rPr>
                <w:b/>
                <w:color w:val="262626" w:themeColor="text1" w:themeTint="D9"/>
                <w:sz w:val="20"/>
                <w:szCs w:val="20"/>
              </w:rPr>
            </w:pPr>
            <w:r w:rsidRPr="00EF6D0A">
              <w:rPr>
                <w:b/>
                <w:color w:val="262626" w:themeColor="text1" w:themeTint="D9"/>
                <w:sz w:val="20"/>
                <w:szCs w:val="20"/>
              </w:rPr>
              <w:t xml:space="preserve">Drug Class: </w:t>
            </w:r>
            <w:r w:rsidR="00321B21">
              <w:rPr>
                <w:rFonts w:eastAsia="Times New Roman"/>
                <w:sz w:val="20"/>
                <w:szCs w:val="20"/>
              </w:rPr>
              <w:t xml:space="preserve">Kinase Inhibitor</w:t>
            </w:r>
            <w:proofErr w:type="spellStart"/>
            <w:r w:rsidR="00321B21">
              <w:rPr>
                <w:rFonts w:eastAsia="Times New Roman"/>
                <w:sz w:val="20"/>
                <w:szCs w:val="20"/>
              </w:rPr>
              <w:t/>
            </w:r>
            <w:proofErr w:type="spellEnd"/>
            <w:r w:rsidR="00321B21">
              <w:rPr>
                <w:rFonts w:eastAsia="Times New Roman"/>
                <w:sz w:val="20"/>
                <w:szCs w:val="20"/>
              </w:rPr>
              <w:t/>
            </w:r>
          </w:p>
          <w:p w14:paraId="048C63A1" w14:textId="77777777" w:rsidR="00F34A70" w:rsidRPr="00EF6D0A" w:rsidRDefault="00F34A70" w:rsidP="00185FA7">
            <w:pPr>
              <w:widowControl w:val="0"/>
              <w:rPr>
                <w:b/>
                <w:color w:val="262626" w:themeColor="text1" w:themeTint="D9"/>
                <w:sz w:val="20"/>
                <w:szCs w:val="20"/>
              </w:rPr>
            </w:pPr>
          </w:p>
          <w:p w14:paraId="18D6B89C" w14:textId="550ACDA8" w:rsidR="00F34A70" w:rsidRPr="00EF6D0A" w:rsidRDefault="000F5FF8" w:rsidP="00185FA7">
            <w:pPr>
              <w:widowControl w:val="0"/>
              <w:rPr>
                <w:b/>
                <w:color w:val="262626" w:themeColor="text1" w:themeTint="D9"/>
                <w:sz w:val="20"/>
                <w:szCs w:val="20"/>
              </w:rPr>
            </w:pPr>
            <w:r>
              <w:rPr>
                <w:b/>
                <w:color w:val="262626" w:themeColor="text1" w:themeTint="D9"/>
                <w:sz w:val="20"/>
                <w:szCs w:val="20"/>
              </w:rPr>
              <w:t xml:space="preserve">Mechanism of Action</w:t>
            </w:r>
            <w:r w:rsidR="00F34A70" w:rsidRPr="00EF6D0A">
              <w:rPr>
                <w:b/>
                <w:color w:val="262626" w:themeColor="text1" w:themeTint="D9"/>
                <w:sz w:val="20"/>
                <w:szCs w:val="20"/>
              </w:rPr>
              <w:t xml:space="preserve">: </w:t>
            </w:r>
            <w:r w:rsidR="00321B21">
              <w:rPr>
                <w:sz w:val="20"/>
                <w:szCs w:val="20"/>
              </w:rPr>
              <w:t xml:space="preserve">EGFR</w:t>
            </w:r>
            <w:proofErr w:type="spellStart"/>
            <w:r w:rsidR="00321B21">
              <w:rPr>
                <w:sz w:val="20"/>
                <w:szCs w:val="20"/>
              </w:rPr>
              <w:t/>
            </w:r>
            <w:proofErr w:type="spellEnd"/>
            <w:r w:rsidR="00321B21">
              <w:rPr>
                <w:sz w:val="20"/>
                <w:szCs w:val="20"/>
              </w:rPr>
              <w:t/>
            </w:r>
          </w:p>
          <w:p w14:paraId="0074F717" w14:textId="77777777" w:rsidR="00F34A70" w:rsidRPr="00EF6D0A" w:rsidRDefault="00F34A70" w:rsidP="00185FA7">
            <w:pPr>
              <w:widowControl w:val="0"/>
              <w:rPr>
                <w:b/>
                <w:color w:val="262626" w:themeColor="text1" w:themeTint="D9"/>
                <w:sz w:val="20"/>
                <w:szCs w:val="20"/>
              </w:rPr>
            </w:pPr>
          </w:p>
          <w:p w14:paraId="2237EC99" w14:textId="5816C520" w:rsidR="00F34A70" w:rsidRPr="00EF6D0A" w:rsidRDefault="00F34A70" w:rsidP="00185FA7">
            <w:pPr>
              <w:widowControl w:val="0"/>
              <w:rPr>
                <w:b/>
                <w:color w:val="595959" w:themeColor="text1" w:themeTint="A6"/>
                <w:sz w:val="20"/>
                <w:szCs w:val="20"/>
              </w:rPr>
            </w:pPr>
            <w:r w:rsidRPr="00EF6D0A">
              <w:rPr>
                <w:b/>
                <w:color w:val="262626" w:themeColor="text1" w:themeTint="D9"/>
                <w:sz w:val="20"/>
                <w:szCs w:val="20"/>
              </w:rPr>
              <w:t xml:space="preserve">Indication for Use:</w:t>
            </w:r>
            <w:r w:rsidRPr="00EF6D0A">
              <w:rPr>
                <w:color w:val="262626" w:themeColor="text1" w:themeTint="D9"/>
                <w:sz w:val="20"/>
                <w:szCs w:val="20"/>
              </w:rPr>
              <w:t xml:space="preserve"> </w:t>
            </w:r>
            <w:r>
              <w:rPr>
                <w:sz w:val="20"/>
                <w:szCs w:val="20"/>
              </w:rPr>
              <w:t xml:space="preserve">Gefitinib (Iressa) is FDA approved for the first-line treatment of patients with metastatic non-small cell lung cancer (NSCLC) whose tumors have </w:t>
            </w:r>
            <w:r>
              <w:rPr>
                <w:sz w:val="20"/>
                <w:szCs w:val="20"/>
                <w:i/>
              </w:rPr>
              <w:t xml:space="preserve">EGFR</w:t>
            </w:r>
            <w:r>
              <w:rPr>
                <w:sz w:val="20"/>
                <w:szCs w:val="20"/>
              </w:rPr>
              <w:t xml:space="preserve"> exon 19 deletions (Ex19del) or the exon 21 p.L858R substitution, as detected by an FDA-approved test. </w:t>
            </w:r>
            <w:r w:rsidR="00EB1935">
              <w:rPr>
                <w:sz w:val="20"/>
                <w:szCs w:val="20"/>
              </w:rPr>
              <w:t/>
            </w:r>
            <w:proofErr w:type="spellStart"/>
            <w:r w:rsidR="00321B21">
              <w:rPr>
                <w:sz w:val="20"/>
                <w:szCs w:val="20"/>
              </w:rPr>
              <w:t/>
            </w:r>
            <w:proofErr w:type="spellEnd"/>
            <w:r w:rsidR="00321B21">
              <w:rPr>
                <w:sz w:val="20"/>
                <w:szCs w:val="20"/>
              </w:rPr>
              <w:t/>
            </w:r>
          </w:p>
          <w:p w14:paraId="567C68BF" w14:textId="77777777" w:rsidR="00F34A70" w:rsidRPr="00EF6D0A" w:rsidRDefault="00F34A70" w:rsidP="00185FA7">
            <w:pPr>
              <w:widowControl w:val="0"/>
              <w:rPr>
                <w:color w:val="595959" w:themeColor="text1" w:themeTint="A6"/>
                <w:sz w:val="20"/>
                <w:szCs w:val="20"/>
              </w:rPr>
            </w:pPr>
          </w:p>
          <w:p w14:paraId="3863B2CF" w14:textId="0173C441" w:rsidR="00F34A70" w:rsidRDefault="00321B21" w:rsidP="00321B21">
            <w:pPr>
              <w:widowControl w:val="0"/>
              <w:rPr>
                <w:sz w:val="20"/>
                <w:szCs w:val="20"/>
              </w:rPr>
            </w:pPr>
            <w:r>
              <w:rPr>
                <w:b/>
                <w:color w:val="262626" w:themeColor="text1" w:themeTint="D9"/>
                <w:sz w:val="20"/>
                <w:szCs w:val="20"/>
              </w:rPr>
              <w:t xml:space="preserve">Gefitinib</w:t>
            </w:r>
            <w:r w:rsidR="00F34A70" w:rsidRPr="00EF6D0A">
              <w:rPr>
                <w:b/>
                <w:color w:val="262626" w:themeColor="text1" w:themeTint="D9"/>
                <w:sz w:val="20"/>
                <w:szCs w:val="20"/>
              </w:rPr>
              <w:t xml:space="preserve"> Description: </w:t>
            </w:r>
            <w:r>
              <w:rPr>
                <w:sz w:val="20"/>
                <w:szCs w:val="20"/>
              </w:rPr>
              <w:t xml:space="preserve">Gefitinib is an oral first-generation EGFR tyrosine kinase inhibitor (TKI) that binds competitively and reversibly to the ATP-binding site of the EGFR tyrosine kinase domain (PMID: 12850190). </w:t>
            </w:r>
            <w:r w:rsidR="00EB1935">
              <w:rPr>
                <w:sz w:val="20"/>
                <w:szCs w:val="20"/>
              </w:rPr>
              <w:t/>
            </w:r>
            <w:r>
              <w:rPr>
                <w:sz w:val="20"/>
                <w:szCs w:val="20"/>
              </w:rPr>
              <w:t/>
            </w:r>
          </w:p>
          <w:p w14:paraId="513CAAEF" w14:textId="1F766AF2" w:rsidR="004A15E4" w:rsidRDefault="004A15E4" w:rsidP="00321B21">
            <w:pPr>
              <w:widowControl w:val="0"/>
              <w:rPr>
                <w:sz w:val="20"/>
                <w:szCs w:val="20"/>
              </w:rPr>
            </w:pPr>
          </w:p>
          <w:p w14:paraId="1CF175DF" w14:textId="21147846" w:rsidR="004A15E4" w:rsidRPr="00321B21" w:rsidRDefault="004A15E4" w:rsidP="00321B21">
            <w:pPr>
              <w:widowControl w:val="0"/>
              <w:rPr>
                <w:b/>
                <w:color w:val="262626" w:themeColor="text1" w:themeTint="D9"/>
                <w:sz w:val="20"/>
                <w:szCs w:val="20"/>
              </w:rPr>
            </w:pPr>
            <w:r>
              <w:rPr>
                <w:b/>
                <w:color w:val="262626" w:themeColor="text1" w:themeTint="D9"/>
                <w:sz w:val="20"/>
                <w:szCs w:val="20"/>
              </w:rPr>
              <w:t xml:space="preserve">Resistance</w:t>
            </w:r>
            <w:r w:rsidRPr="00EF6D0A">
              <w:rPr>
                <w:b/>
                <w:color w:val="262626" w:themeColor="text1" w:themeTint="D9"/>
                <w:sz w:val="20"/>
                <w:szCs w:val="20"/>
              </w:rPr>
              <w:t xml:space="preserve">: </w:t>
            </w:r>
            <w:r>
              <w:rPr>
                <w:sz w:val="20"/>
                <w:szCs w:val="20"/>
              </w:rPr>
              <w:t xml:space="preserve">Diverse </w:t>
            </w:r>
            <w:r>
              <w:rPr>
                <w:sz w:val="20"/>
                <w:szCs w:val="20"/>
                <w:i/>
              </w:rPr>
              <w:t xml:space="preserve">EGFR</w:t>
            </w:r>
            <w:r>
              <w:rPr>
                <w:sz w:val="20"/>
                <w:szCs w:val="20"/>
              </w:rPr>
              <w:t xml:space="preserve">-dependent and </w:t>
            </w:r>
            <w:r>
              <w:rPr>
                <w:sz w:val="20"/>
                <w:szCs w:val="20"/>
                <w:i/>
              </w:rPr>
              <w:t xml:space="preserve">EGFR</w:t>
            </w:r>
            <w:r>
              <w:rPr>
                <w:sz w:val="20"/>
                <w:szCs w:val="20"/>
              </w:rPr>
              <w:t xml:space="preserve">-independent mechanisms of acquired resistance to first- and second-generation EGFR TKIs have been described (PMID: 28149837, 34638411). Common </w:t>
            </w:r>
            <w:r>
              <w:rPr>
                <w:sz w:val="20"/>
                <w:szCs w:val="20"/>
                <w:i/>
              </w:rPr>
              <w:t xml:space="preserve">EGFR</w:t>
            </w:r>
            <w:r>
              <w:rPr>
                <w:sz w:val="20"/>
                <w:szCs w:val="20"/>
              </w:rPr>
              <w:t xml:space="preserve">-independent mechanisms include acquired </w:t>
            </w:r>
            <w:r>
              <w:rPr>
                <w:sz w:val="20"/>
                <w:szCs w:val="20"/>
                <w:i/>
              </w:rPr>
              <w:t xml:space="preserve">MET</w:t>
            </w:r>
            <w:r>
              <w:rPr>
                <w:sz w:val="20"/>
                <w:szCs w:val="20"/>
              </w:rPr>
              <w:t xml:space="preserve"> or </w:t>
            </w:r>
            <w:r>
              <w:rPr>
                <w:sz w:val="20"/>
                <w:szCs w:val="20"/>
                <w:i/>
              </w:rPr>
              <w:t xml:space="preserve">ERBB2</w:t>
            </w:r>
            <w:r>
              <w:rPr>
                <w:sz w:val="20"/>
                <w:szCs w:val="20"/>
              </w:rPr>
              <w:t xml:space="preserve"> amplification, </w:t>
            </w:r>
            <w:r>
              <w:rPr>
                <w:sz w:val="20"/>
                <w:szCs w:val="20"/>
                <w:i/>
              </w:rPr>
              <w:t xml:space="preserve">ALK</w:t>
            </w:r>
            <w:r>
              <w:rPr>
                <w:sz w:val="20"/>
                <w:szCs w:val="20"/>
              </w:rPr>
              <w:t xml:space="preserve"> or </w:t>
            </w:r>
            <w:r>
              <w:rPr>
                <w:sz w:val="20"/>
                <w:szCs w:val="20"/>
                <w:i/>
              </w:rPr>
              <w:t xml:space="preserve">ROS1</w:t>
            </w:r>
            <w:r>
              <w:rPr>
                <w:sz w:val="20"/>
                <w:szCs w:val="20"/>
              </w:rPr>
              <w:t xml:space="preserve"> oncogenic fusions, hyperactivation of the MAPK and PI3K signaling pathways, epithelial-mesenchymal transition and/or histologic transformation of non-small cell lung cancer to small cell lung cancer (PMID: 28149837, 34638411). The most common </w:t>
            </w:r>
            <w:r>
              <w:rPr>
                <w:sz w:val="20"/>
                <w:szCs w:val="20"/>
                <w:i/>
              </w:rPr>
              <w:t xml:space="preserve">EGFR</w:t>
            </w:r>
            <w:r>
              <w:rPr>
                <w:sz w:val="20"/>
                <w:szCs w:val="20"/>
              </w:rPr>
              <w:t xml:space="preserve">-dependent mechanism of gefitinib resistance is acquisition of the </w:t>
            </w:r>
            <w:r>
              <w:rPr>
                <w:sz w:val="20"/>
                <w:szCs w:val="20"/>
                <w:i/>
              </w:rPr>
              <w:t xml:space="preserve">EGFR</w:t>
            </w:r>
            <w:r>
              <w:rPr>
                <w:sz w:val="20"/>
                <w:szCs w:val="20"/>
              </w:rPr>
              <w:t xml:space="preserve"> p.T790M gatekeeper mutation, which occurs in approximately 60% of NSCLC patients who progress or relapse on first-line therapy (PMID: 23470965, 28149837). </w:t>
            </w:r>
            <w:proofErr w:type="spellStart"/>
            <w:r>
              <w:rPr>
                <w:sz w:val="20"/>
                <w:szCs w:val="20"/>
              </w:rPr>
              <w:t/>
            </w:r>
            <w:proofErr w:type="spellEnd"/>
            <w:r>
              <w:rPr>
                <w:sz w:val="20"/>
                <w:szCs w:val="20"/>
              </w:rPr>
              <w:t/>
            </w:r>
          </w:p>
          <w:p w14:paraId="138CE66F" w14:textId="4B85B8AD" w:rsidR="00321B21" w:rsidRPr="00E47BBD" w:rsidRDefault="00321B21" w:rsidP="00185FA7">
            <w:r>
              <w:t/>
            </w:r>
          </w:p>
          <w:p w14:paraId="63CF70C2" w14:textId="77777777" w:rsidR="00F34A70" w:rsidRDefault="00F34A70" w:rsidP="00185FA7">
            <w:pPr>
              <w:widowControl w:val="0"/>
              <w:spacing w:before="200"/>
              <w:rPr>
                <w:color w:val="7F7F7F" w:themeColor="text1" w:themeTint="80"/>
                <w:sz w:val="20"/>
                <w:szCs w:val="20"/>
              </w:rPr>
            </w:pPr>
          </w:p>
        </w:tc>
      </w:tr>
    </w:tbl>
    <w:p w14:paraId="7BBBE2E4" w14:textId="5E3845CF" w:rsidR="008D3845" w:rsidRPr="008D3845" w:rsidRDefault="008D3845" w:rsidP="006556CC">
      <w:pPr>
        <w:spacing w:before="200" w:after="0"/>
        <w:rPr>
          <w:rFonts w:cs="Calibri Light (Headings)"/>
          <w:bCs/>
          <w:smallCaps/>
          <w:color w:val="0D0D0D" w:themeColor="text1" w:themeTint="F2"/>
          <w:spacing w:val="10"/>
          <w:sz w:val="16"/>
          <w:szCs w:val="16"/>
        </w:rPr>
      </w:pPr>
      <w:r w:rsidRPr="008D3845">
        <w:rPr>
          <w:rFonts w:cs="Calibri Light (Headings)"/>
          <w:bCs/>
          <w:smallCaps/>
          <w:color w:val="0D0D0D" w:themeColor="text1" w:themeTint="F2"/>
          <w:spacing w:val="10"/>
          <w:sz w:val="16"/>
          <w:szCs w:val="16"/>
        </w:rPr>
        <w:t/>
      </w:r>
      <w:r>
        <w:rPr>
          <w:rFonts w:cs="Calibri Light (Headings)"/>
          <w:bCs/>
          <w:smallCaps/>
          <w:color w:val="0D0D0D" w:themeColor="text1" w:themeTint="F2"/>
          <w:spacing w:val="10"/>
          <w:sz w:val="16"/>
          <w:szCs w:val="16"/>
        </w:rPr>
        <w:t/>
      </w:r>
    </w:p>
    <w:p w14:paraId="741B7755" w14:textId="4A500AD1" w:rsidR="006556CC" w:rsidRPr="00DE1564" w:rsidRDefault="006556CC" w:rsidP="006556CC">
      <w:pPr>
        <w:spacing w:before="200" w:after="0"/>
        <w:rPr>
          <w:rFonts w:cs="Calibri Light (Headings)"/>
          <w:b/>
          <w:smallCaps/>
          <w:color w:val="0D0D0D" w:themeColor="text1" w:themeTint="F2"/>
          <w:spacing w:val="10"/>
          <w:sz w:val="28"/>
          <w:u w:val="single"/>
        </w:rPr>
      </w:pPr>
      <w:r w:rsidRPr="00DE1564">
        <w:rPr>
          <w:rFonts w:cs="Calibri Light (Headings)"/>
          <w:b/>
          <w:smallCaps/>
          <w:color w:val="0D0D0D" w:themeColor="text1" w:themeTint="F2"/>
          <w:spacing w:val="10"/>
          <w:sz w:val="28"/>
          <w:u w:val="single"/>
        </w:rPr>
        <w:t xml:space="preserve">Relevant Clinical Trials</w:t>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r w:rsidR="00DE1564">
        <w:rPr>
          <w:rFonts w:cs="Calibri Light (Headings)"/>
          <w:b/>
          <w:smallCaps/>
          <w:color w:val="0D0D0D" w:themeColor="text1" w:themeTint="F2"/>
          <w:spacing w:val="10"/>
          <w:sz w:val="28"/>
          <w:u w:val="single"/>
        </w:rPr>
        <w:tab/>
      </w:r>
    </w:p>
    <w:p w14:paraId="2531CC2E" w14:textId="77777777" w:rsidR="00F34A70" w:rsidRPr="00D7205E" w:rsidRDefault="00F34A70" w:rsidP="00F34A70">
      <w:pPr>
        <w:pStyle w:val="Heading2"/>
        <w:shd w:val="clear" w:color="auto" w:fill="808080" w:themeFill="background1" w:themeFillShade="80"/>
        <w:spacing w:before="120"/>
        <w:rPr>
          <w:rFonts w:cstheme="majorHAnsi"/>
          <w:b/>
          <w:smallCaps/>
          <w:color w:val="FFFFFF" w:themeColor="background1"/>
          <w:spacing w:val="10"/>
        </w:rPr>
      </w:pPr>
      <w:r>
        <w:rPr>
          <w:rFonts w:cstheme="majorHAnsi"/>
          <w:b/>
          <w:smallCaps/>
          <w:color w:val="FFFFFF" w:themeColor="background1"/>
          <w:spacing w:val="10"/>
        </w:rPr>
        <w:t xml:space="preserve">Clinical Trials Summary</w:t>
      </w:r>
    </w:p>
    <w:tbl>
      <w:tblPr>
        <w:tblStyle w:val="ListTable6Colorful-Accent3"/>
        <w:tblpPr w:leftFromText="180" w:rightFromText="180" w:vertAnchor="text" w:tblpX="108" w:tblpY="1"/>
        <w:tblOverlap w:val="never"/>
        <w:tblW w:w="10818" w:type="dxa"/>
        <w:tblLayout w:type="fixed"/>
        <w:tblLook w:val="04A0" w:firstRow="1" w:lastRow="0" w:firstColumn="1" w:lastColumn="0" w:noHBand="0" w:noVBand="1"/>
      </w:tblPr>
      <w:tblGrid>
        <w:gridCol w:w="2178"/>
        <w:gridCol w:w="1980"/>
        <w:gridCol w:w="2790"/>
        <w:gridCol w:w="2592"/>
        <w:gridCol w:w="1278"/>
      </w:tblGrid>
      <w:tr w:rsidR="00DE1564" w14:paraId="25CF9421" w14:textId="77777777" w:rsidTr="003D030E">
        <w:trPr>
          <w:cnfStyle w:val="100000000000" w:firstRow="1" w:lastRow="0" w:firstColumn="0" w:lastColumn="0" w:oddVBand="0" w:evenVBand="0" w:oddHBand="0" w:evenHBand="0" w:firstRowFirstColumn="0" w:firstRowLastColumn="0" w:lastRowFirstColumn="0" w:lastRowLastColumn="0"/>
          <w:cantSplit/>
          <w:trHeight w:val="391"/>
        </w:trPr>
        <w:tc>
          <w:tcPr>
            <w:cnfStyle w:val="001000000000" w:firstRow="0" w:lastRow="0" w:firstColumn="1" w:lastColumn="0" w:oddVBand="0" w:evenVBand="0" w:oddHBand="0" w:evenHBand="0" w:firstRowFirstColumn="0" w:firstRowLastColumn="0" w:lastRowFirstColumn="0" w:lastRowLastColumn="0"/>
            <w:tcW w:w="2178" w:type="dxa"/>
            <w:vAlign w:val="bottom"/>
          </w:tcPr>
          <w:p w14:paraId="0272CEB7" w14:textId="77777777" w:rsidR="00DE1564" w:rsidRPr="00D7205E" w:rsidRDefault="00DE1564" w:rsidP="000A0E23">
            <w:pPr>
              <w:rPr>
                <w:rFonts w:cstheme="minorHAnsi"/>
                <w:color w:val="0D0D0D" w:themeColor="text1" w:themeTint="F2"/>
                <w:sz w:val="20"/>
                <w:szCs w:val="20"/>
              </w:rPr>
            </w:pPr>
            <w:r>
              <w:rPr>
                <w:rFonts w:cstheme="minorHAnsi"/>
                <w:smallCaps/>
                <w:color w:val="0D0D0D" w:themeColor="text1" w:themeTint="F2"/>
              </w:rPr>
              <w:t xml:space="preserve">Genomic Finding</w:t>
            </w:r>
          </w:p>
        </w:tc>
        <w:tc>
          <w:tcPr>
            <w:tcW w:w="1980" w:type="dxa"/>
            <w:vAlign w:val="bottom"/>
          </w:tcPr>
          <w:p w14:paraId="0970F955" w14:textId="77777777" w:rsidR="00DE1564" w:rsidRPr="00D7205E" w:rsidRDefault="00DE1564" w:rsidP="000A0E23">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sidRPr="00D7205E">
              <w:rPr>
                <w:rFonts w:cstheme="minorHAnsi"/>
                <w:smallCaps/>
                <w:color w:val="0D0D0D" w:themeColor="text1" w:themeTint="F2"/>
              </w:rPr>
              <w:t xml:space="preserve">Type</w:t>
            </w:r>
          </w:p>
        </w:tc>
        <w:tc>
          <w:tcPr>
            <w:tcW w:w="2790" w:type="dxa"/>
            <w:vAlign w:val="bottom"/>
          </w:tcPr>
          <w:p w14:paraId="4E19E3DC" w14:textId="77777777" w:rsidR="00DE1564" w:rsidRPr="00D7205E" w:rsidRDefault="00DE1564" w:rsidP="000A0E23">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NCT ID</w:t>
            </w:r>
          </w:p>
        </w:tc>
        <w:tc>
          <w:tcPr>
            <w:tcW w:w="2592" w:type="dxa"/>
            <w:vAlign w:val="bottom"/>
          </w:tcPr>
          <w:p w14:paraId="1254A6CC" w14:textId="77777777" w:rsidR="00DE1564" w:rsidRPr="00D7205E" w:rsidRDefault="00DE1564" w:rsidP="000A0E23">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Drugs</w:t>
            </w:r>
          </w:p>
        </w:tc>
        <w:tc>
          <w:tcPr>
            <w:tcW w:w="1278" w:type="dxa"/>
            <w:vAlign w:val="bottom"/>
          </w:tcPr>
          <w:p w14:paraId="548FA591" w14:textId="77777777" w:rsidR="00DE1564" w:rsidRDefault="00DE1564" w:rsidP="000A0E23">
            <w:pPr>
              <w:cnfStyle w:val="100000000000" w:firstRow="1" w:lastRow="0" w:firstColumn="0" w:lastColumn="0" w:oddVBand="0" w:evenVBand="0" w:oddHBand="0" w:evenHBand="0" w:firstRowFirstColumn="0" w:firstRowLastColumn="0" w:lastRowFirstColumn="0" w:lastRowLastColumn="0"/>
              <w:rPr>
                <w:rFonts w:cstheme="minorHAnsi"/>
                <w:smallCaps/>
                <w:color w:val="0D0D0D" w:themeColor="text1" w:themeTint="F2"/>
              </w:rPr>
            </w:pPr>
            <w:r>
              <w:rPr>
                <w:rFonts w:cstheme="minorHAnsi"/>
                <w:smallCaps/>
                <w:color w:val="0D0D0D" w:themeColor="text1" w:themeTint="F2"/>
              </w:rPr>
              <w:t xml:space="preserve">Phase</w:t>
            </w:r>
          </w:p>
        </w:tc>
      </w:tr>
      <w:tr w:rsidR="00DE1564" w14:paraId="504C99E5" w14:textId="77777777" w:rsidTr="003D030E">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6C757E31" w14:textId="213C6303" w:rsidR="00DE1564" w:rsidRPr="00871002" w:rsidRDefault="00871002" w:rsidP="00871002">
            <w:pPr>
              <w:rPr>
                <w:rFonts w:cstheme="minorHAnsi"/>
                <w:smallCaps/>
                <w:color w:val="0D0D0D" w:themeColor="text1" w:themeTint="F2"/>
              </w:rPr>
            </w:pPr>
            <w:r>
              <w:rPr>
                <w:rFonts w:cstheme="minorHAnsi"/>
                <w:b w:val="0"/>
                <w:bCs w:val="0"/>
                <w:smallCaps/>
                <w:color w:val="0D0D0D" w:themeColor="text1" w:themeTint="F2"/>
              </w:rPr>
              <w:t/>
            </w:r>
            <w:r w:rsidR="008745DD">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w:r>
            <w:r>
              <w:rPr>
                <w:rFonts w:cstheme="minorHAnsi"/>
                <w:smallCaps/>
                <w:color w:val="0D0D0D" w:themeColor="text1" w:themeTint="F2"/>
              </w:rPr>
              <w:t/>
            </w:r>
          </w:p>
        </w:tc>
        <w:tc>
          <w:tcPr>
            <w:tcW w:w="1980" w:type="dxa"/>
            <w:vAlign w:val="center"/>
          </w:tcPr>
          <w:p w14:paraId="72770EB7" w14:textId="206BF341" w:rsidR="00DE1564" w:rsidRPr="005D7FE8" w:rsidRDefault="00871002" w:rsidP="000A0E23">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009C1D2C">
              <w:rPr>
                <w:color w:val="404040" w:themeColor="text1" w:themeTint="BF"/>
                <w:sz w:val="20"/>
                <w:szCs w:val="20"/>
              </w:rPr>
              <w:t/>
            </w:r>
            <w:r>
              <w:rPr>
                <w:color w:val="404040" w:themeColor="text1" w:themeTint="BF"/>
                <w:sz w:val="20"/>
                <w:szCs w:val="20"/>
              </w:rPr>
              <w:t/>
            </w:r>
          </w:p>
        </w:tc>
        <w:tc>
          <w:tcPr>
            <w:tcW w:w="2790" w:type="dxa"/>
            <w:vAlign w:val="center"/>
          </w:tcPr>
          <w:p w14:paraId="4DC94E96" w14:textId="39FE80B1" w:rsidR="00DE1564" w:rsidRPr="005D7FE8" w:rsidRDefault="00871002" w:rsidP="000A0E23">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NCT04925284</w:t>
            </w:r>
            <w:r>
              <w:br/>
            </w:r>
            <w:r>
              <w:br/>
            </w:r>
            <w:r>
              <w:rPr>
                <w:sz w:val="20"/>
                <w:szCs w:val="20"/>
              </w:rPr>
              <w:t xml:space="preserve">NCT03178552</w:t>
            </w:r>
            <w:r>
              <w:br/>
            </w:r>
            <w:r>
              <w:br/>
            </w:r>
            <w:r>
              <w:rPr>
                <w:sz w:val="20"/>
                <w:szCs w:val="20"/>
              </w:rPr>
              <w:t xml:space="preserve">NCT03845166</w:t>
            </w:r>
            <w:r>
              <w:br/>
            </w:r>
            <w:r>
              <w:br/>
            </w:r>
            <w:r>
              <w:rPr>
                <w:sz w:val="20"/>
                <w:szCs w:val="20"/>
              </w:rPr>
              <w:t xml:space="preserve">NCT03811002</w:t>
            </w:r>
            <w:r>
              <w:br/>
            </w:r>
            <w:r>
              <w:br/>
            </w:r>
            <w:r>
              <w:rPr>
                <w:sz w:val="20"/>
                <w:szCs w:val="20"/>
              </w:rPr>
              <w:t xml:space="preserve">NCT05091567</w:t>
            </w:r>
            <w:r>
              <w:br/>
            </w:r>
            <w:r>
              <w:br/>
            </w:r>
            <w:r>
              <w:rPr>
                <w:sz w:val="20"/>
                <w:szCs w:val="20"/>
              </w:rPr>
              <w:t xml:space="preserve">NCT03782207</w:t>
            </w:r>
            <w:r w:rsidR="006C2D5C">
              <w:rPr>
                <w:color w:val="404040" w:themeColor="text1" w:themeTint="BF"/>
                <w:sz w:val="20"/>
                <w:szCs w:val="20"/>
              </w:rPr>
              <w:t/>
            </w:r>
            <w:proofErr w:type="spellStart"/>
            <w:r w:rsidR="006C2D5C">
              <w:rPr>
                <w:color w:val="404040" w:themeColor="text1" w:themeTint="BF"/>
                <w:sz w:val="20"/>
                <w:szCs w:val="20"/>
              </w:rPr>
              <w:t/>
            </w:r>
            <w:proofErr w:type="spellEnd"/>
            <w:r w:rsidR="006C2D5C">
              <w:rPr>
                <w:color w:val="404040" w:themeColor="text1" w:themeTint="BF"/>
                <w:sz w:val="20"/>
                <w:szCs w:val="20"/>
              </w:rPr>
              <w:t/>
            </w:r>
          </w:p>
        </w:tc>
        <w:tc>
          <w:tcPr>
            <w:tcW w:w="2592" w:type="dxa"/>
            <w:vAlign w:val="center"/>
          </w:tcPr>
          <w:p w14:paraId="6246296B" w14:textId="2C7643D4" w:rsidR="00DE1564" w:rsidRPr="005D7FE8" w:rsidRDefault="00871002" w:rsidP="006C2D5C">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Nivolumab, Bevacizumab</w:t>
            </w:r>
            <w:r>
              <w:br/>
            </w:r>
            <w:r>
              <w:br/>
            </w:r>
            <w:r>
              <w:rPr>
                <w:sz w:val="20"/>
                <w:szCs w:val="20"/>
              </w:rPr>
              <w:t xml:space="preserve">Atezolizumab, Bevacizumab</w:t>
            </w:r>
            <w:r>
              <w:br/>
            </w:r>
            <w:r>
              <w:br/>
            </w:r>
            <w:r>
              <w:rPr>
                <w:sz w:val="20"/>
                <w:szCs w:val="20"/>
              </w:rPr>
              <w:t xml:space="preserve">Atezolizumab</w:t>
            </w:r>
            <w:r>
              <w:br/>
            </w:r>
            <w:r>
              <w:br/>
            </w:r>
            <w:r>
              <w:rPr>
                <w:sz w:val="20"/>
                <w:szCs w:val="20"/>
              </w:rPr>
              <w:t xml:space="preserve">Atezolizumab</w:t>
            </w:r>
            <w:r>
              <w:br/>
            </w:r>
            <w:r>
              <w:br/>
            </w:r>
            <w:r>
              <w:rPr>
                <w:sz w:val="20"/>
                <w:szCs w:val="20"/>
              </w:rPr>
              <w:t xml:space="preserve">Atezolizumab</w:t>
            </w:r>
            <w:r>
              <w:br/>
            </w:r>
            <w:r>
              <w:br/>
            </w:r>
            <w:r>
              <w:rPr>
                <w:sz w:val="20"/>
                <w:szCs w:val="20"/>
              </w:rPr>
              <w:t xml:space="preserve">Atezolizumab</w:t>
            </w:r>
            <w:r w:rsidR="006C2D5C">
              <w:rPr>
                <w:color w:val="404040" w:themeColor="text1" w:themeTint="BF"/>
                <w:sz w:val="20"/>
                <w:szCs w:val="20"/>
              </w:rPr>
              <w:t/>
            </w:r>
          </w:p>
        </w:tc>
        <w:tc>
          <w:tcPr>
            <w:tcW w:w="1278" w:type="dxa"/>
            <w:vAlign w:val="center"/>
          </w:tcPr>
          <w:p w14:paraId="2648C224" w14:textId="1BDF74F3" w:rsidR="00DE1564" w:rsidRPr="006C2D5C" w:rsidRDefault="00871002" w:rsidP="006C2D5C">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I</w:t>
            </w:r>
            <w:r>
              <w:br/>
            </w:r>
            <w:r>
              <w:br/>
            </w:r>
            <w:r>
              <w:rPr>
                <w:sz w:val="20"/>
                <w:szCs w:val="20"/>
              </w:rPr>
              <w:t xml:space="preserve">II/III</w:t>
            </w:r>
            <w:r>
              <w:br/>
            </w:r>
            <w:r>
              <w:br/>
            </w:r>
            <w:r>
              <w:rPr>
                <w:sz w:val="20"/>
                <w:szCs w:val="20"/>
              </w:rPr>
              <w:t xml:space="preserve">I</w:t>
            </w:r>
            <w:r>
              <w:br/>
            </w:r>
            <w:r>
              <w:br/>
            </w:r>
            <w:r>
              <w:rPr>
                <w:sz w:val="20"/>
                <w:szCs w:val="20"/>
              </w:rPr>
              <w:t xml:space="preserve">II/III</w:t>
            </w:r>
            <w:r>
              <w:br/>
            </w:r>
            <w:r>
              <w:br/>
            </w:r>
            <w:r>
              <w:rPr>
                <w:sz w:val="20"/>
                <w:szCs w:val="20"/>
              </w:rPr>
              <w:t xml:space="preserve">III</w:t>
            </w:r>
            <w:r>
              <w:br/>
            </w:r>
            <w:r>
              <w:br/>
            </w:r>
            <w:r w:rsidR="006C2D5C">
              <w:rPr>
                <w:color w:val="404040" w:themeColor="text1" w:themeTint="BF"/>
                <w:sz w:val="20"/>
                <w:szCs w:val="20"/>
              </w:rPr>
              <w:t/>
            </w:r>
            <w:r>
              <w:rPr>
                <w:color w:val="404040" w:themeColor="text1" w:themeTint="BF"/>
                <w:sz w:val="20"/>
                <w:szCs w:val="20"/>
              </w:rPr>
              <w:t/>
            </w:r>
          </w:p>
        </w:tc>
      </w:tr>
      <w:tr w:rsidR="00DE1564" w14:paraId="504C99E5" w14:textId="77777777" w:rsidTr="003D030E">
        <w:trPr>
          <w:cnfStyle w:val="000000100000" w:firstRow="0" w:lastRow="0" w:firstColumn="0" w:lastColumn="0" w:oddVBand="0" w:evenVBand="0" w:oddHBand="1" w:evenHBand="0" w:firstRowFirstColumn="0" w:firstRowLastColumn="0" w:lastRowFirstColumn="0" w:lastRowLastColumn="0"/>
          <w:cantSplit/>
          <w:trHeight w:val="458"/>
        </w:trPr>
        <w:tc>
          <w:tcPr>
            <w:cnfStyle w:val="001000000000" w:firstRow="0" w:lastRow="0" w:firstColumn="1" w:lastColumn="0" w:oddVBand="0" w:evenVBand="0" w:oddHBand="0" w:evenHBand="0" w:firstRowFirstColumn="0" w:firstRowLastColumn="0" w:lastRowFirstColumn="0" w:lastRowLastColumn="0"/>
            <w:tcW w:w="2178" w:type="dxa"/>
            <w:vAlign w:val="center"/>
          </w:tcPr>
          <w:p w14:paraId="6C757E31" w14:textId="213C6303" w:rsidR="00DE1564" w:rsidRPr="00871002" w:rsidRDefault="00871002" w:rsidP="00871002">
            <w:pPr>
              <w:rPr>
                <w:rFonts w:cstheme="minorHAnsi"/>
                <w:smallCaps/>
                <w:color w:val="0D0D0D" w:themeColor="text1" w:themeTint="F2"/>
              </w:rPr>
            </w:pPr>
            <w:r>
              <w:rPr>
                <w:rFonts w:cstheme="minorHAnsi"/>
                <w:b w:val="0"/>
                <w:bCs w:val="0"/>
                <w:smallCaps/>
                <w:color w:val="0D0D0D" w:themeColor="text1" w:themeTint="F2"/>
              </w:rPr>
              <w:t/>
            </w:r>
            <w:r w:rsidR="008745DD">
              <w:rPr>
                <w:rFonts w:cstheme="minorHAnsi"/>
                <w:b w:val="0"/>
                <w:bCs w:val="0"/>
                <w:smallCaps/>
                <w:color w:val="0D0D0D" w:themeColor="text1" w:themeTint="F2"/>
              </w:rPr>
              <w:t/>
            </w:r>
            <w:r w:rsidRPr="00871002">
              <w:rPr>
                <w:rFonts w:cstheme="minorHAnsi"/>
                <w:b w:val="0"/>
                <w:bCs w:val="0"/>
                <w:smallCaps/>
                <w:color w:val="0D0D0D" w:themeColor="text1" w:themeTint="F2"/>
              </w:rPr>
              <w:t/>
            </w:r>
            <w:r>
              <w:rPr>
                <w:rFonts w:cstheme="minorHAnsi"/>
                <w:b w:val="0"/>
                <w:bCs w:val="0"/>
                <w:smallCaps/>
                <w:color w:val="0D0D0D" w:themeColor="text1" w:themeTint="F2"/>
              </w:rPr>
              <w:t xml:space="preserve">EGFR T790M</w:t>
            </w:r>
            <w:r>
              <w:rPr>
                <w:rFonts w:cstheme="minorHAnsi"/>
                <w:smallCaps/>
                <w:color w:val="0D0D0D" w:themeColor="text1" w:themeTint="F2"/>
              </w:rPr>
              <w:t/>
            </w:r>
          </w:p>
        </w:tc>
        <w:tc>
          <w:tcPr>
            <w:tcW w:w="1980" w:type="dxa"/>
            <w:vAlign w:val="center"/>
          </w:tcPr>
          <w:p w14:paraId="72770EB7" w14:textId="206BF341" w:rsidR="00DE1564" w:rsidRPr="005D7FE8" w:rsidRDefault="00871002" w:rsidP="000A0E23">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Mutation</w:t>
            </w:r>
            <w:r w:rsidR="009C1D2C">
              <w:rPr>
                <w:color w:val="404040" w:themeColor="text1" w:themeTint="BF"/>
                <w:sz w:val="20"/>
                <w:szCs w:val="20"/>
              </w:rPr>
              <w:t/>
            </w:r>
            <w:r>
              <w:rPr>
                <w:color w:val="404040" w:themeColor="text1" w:themeTint="BF"/>
                <w:sz w:val="20"/>
                <w:szCs w:val="20"/>
              </w:rPr>
              <w:t/>
            </w:r>
          </w:p>
        </w:tc>
        <w:tc>
          <w:tcPr>
            <w:tcW w:w="2790" w:type="dxa"/>
            <w:vAlign w:val="center"/>
          </w:tcPr>
          <w:p w14:paraId="4DC94E96" w14:textId="39FE80B1" w:rsidR="00DE1564" w:rsidRPr="005D7FE8" w:rsidRDefault="00871002" w:rsidP="000A0E23">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NCT03831932</w:t>
            </w:r>
            <w:r>
              <w:br/>
            </w:r>
            <w:r>
              <w:br/>
            </w:r>
            <w:r>
              <w:rPr>
                <w:sz w:val="20"/>
                <w:szCs w:val="20"/>
              </w:rPr>
              <w:t xml:space="preserve">NCT04811001</w:t>
            </w:r>
            <w:r w:rsidR="006C2D5C">
              <w:rPr>
                <w:color w:val="404040" w:themeColor="text1" w:themeTint="BF"/>
                <w:sz w:val="20"/>
                <w:szCs w:val="20"/>
              </w:rPr>
              <w:t/>
            </w:r>
            <w:proofErr w:type="spellStart"/>
            <w:r w:rsidR="006C2D5C">
              <w:rPr>
                <w:color w:val="404040" w:themeColor="text1" w:themeTint="BF"/>
                <w:sz w:val="20"/>
                <w:szCs w:val="20"/>
              </w:rPr>
              <w:t/>
            </w:r>
            <w:proofErr w:type="spellEnd"/>
            <w:r w:rsidR="006C2D5C">
              <w:rPr>
                <w:color w:val="404040" w:themeColor="text1" w:themeTint="BF"/>
                <w:sz w:val="20"/>
                <w:szCs w:val="20"/>
              </w:rPr>
              <w:t/>
            </w:r>
          </w:p>
        </w:tc>
        <w:tc>
          <w:tcPr>
            <w:tcW w:w="2592" w:type="dxa"/>
            <w:vAlign w:val="center"/>
          </w:tcPr>
          <w:p w14:paraId="6246296B" w14:textId="2C7643D4" w:rsidR="00DE1564" w:rsidRPr="005D7FE8" w:rsidRDefault="00871002" w:rsidP="006C2D5C">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Osimertinib</w:t>
            </w:r>
            <w:r>
              <w:br/>
            </w:r>
            <w:r>
              <w:br/>
            </w:r>
            <w:r>
              <w:rPr>
                <w:sz w:val="20"/>
                <w:szCs w:val="20"/>
              </w:rPr>
              <w:t xml:space="preserve">Osimertinib, Dacomitinib</w:t>
            </w:r>
            <w:r w:rsidR="006C2D5C">
              <w:rPr>
                <w:color w:val="404040" w:themeColor="text1" w:themeTint="BF"/>
                <w:sz w:val="20"/>
                <w:szCs w:val="20"/>
              </w:rPr>
              <w:t/>
            </w:r>
          </w:p>
        </w:tc>
        <w:tc>
          <w:tcPr>
            <w:tcW w:w="1278" w:type="dxa"/>
            <w:vAlign w:val="center"/>
          </w:tcPr>
          <w:p w14:paraId="2648C224" w14:textId="1BDF74F3" w:rsidR="00DE1564" w:rsidRPr="006C2D5C" w:rsidRDefault="00871002" w:rsidP="006C2D5C">
            <w:pPr>
              <w:spacing w:line="276" w:lineRule="auto"/>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Pr>
                <w:sz w:val="20"/>
                <w:szCs w:val="20"/>
              </w:rPr>
              <w:t xml:space="preserve">I/II</w:t>
            </w:r>
            <w:r>
              <w:br/>
            </w:r>
            <w:r>
              <w:br/>
            </w:r>
            <w:r>
              <w:rPr>
                <w:sz w:val="20"/>
                <w:szCs w:val="20"/>
              </w:rPr>
              <w:t xml:space="preserve">II</w:t>
            </w:r>
            <w:r w:rsidR="006C2D5C">
              <w:rPr>
                <w:color w:val="404040" w:themeColor="text1" w:themeTint="BF"/>
                <w:sz w:val="20"/>
                <w:szCs w:val="20"/>
              </w:rPr>
              <w:t/>
            </w:r>
            <w:r>
              <w:rPr>
                <w:color w:val="404040" w:themeColor="text1" w:themeTint="BF"/>
                <w:sz w:val="20"/>
                <w:szCs w:val="20"/>
              </w:rPr>
              <w:t/>
            </w:r>
          </w:p>
        </w:tc>
      </w:tr>
    </w:tbl>
    <w:p w14:paraId="5CBDDD8E" w14:textId="77777777" w:rsidR="003863FB" w:rsidRDefault="003863FB" w:rsidP="003863FB">
      <w:pPr>
        <w:tabs>
          <w:tab w:val="left" w:pos="1626"/>
        </w:tabs>
        <w:rPr>
          <w:rFonts w:cs="Calibri Light (Headings)"/>
          <w:b/>
          <w:smallCaps/>
          <w:color w:val="0D0D0D" w:themeColor="text1" w:themeTint="F2"/>
          <w:spacing w:val="10"/>
          <w:sz w:val="28"/>
        </w:rPr>
      </w:pPr>
      <w:r>
        <w:rPr>
          <w:rFonts w:cs="Calibri Light (Headings)"/>
          <w:b/>
          <w:smallCaps/>
          <w:color w:val="0D0D0D" w:themeColor="text1" w:themeTint="F2"/>
          <w:spacing w:val="10"/>
          <w:sz w:val="28"/>
        </w:rPr>
        <w:tab/>
      </w:r>
    </w:p>
    <w:p w14:paraId="7AE97D27" w14:textId="77777777" w:rsidR="003863FB" w:rsidRPr="003863FB" w:rsidRDefault="003863FB" w:rsidP="003863FB">
      <w:pPr>
        <w:rPr>
          <w:sz w:val="20"/>
          <w:szCs w:val="20"/>
        </w:rPr>
      </w:pPr>
    </w:p>
    <w:tbl>
      <w:tblPr>
        <w:tblStyle w:val="TableGrid"/>
        <w:tblW w:w="10975" w:type="dxa"/>
        <w:tblBorders>
          <w:left w:val="none" w:sz="0" w:space="0" w:color="auto"/>
          <w:bottom w:val="none" w:sz="0" w:space="0" w:color="auto"/>
          <w:right w:val="none" w:sz="0" w:space="0" w:color="auto"/>
          <w:insideH w:val="none" w:sz="0" w:space="0" w:color="auto"/>
          <w:insideV w:val="none" w:sz="0" w:space="0" w:color="auto"/>
        </w:tblBorders>
        <w:tblLayout w:type="fixed"/>
        <w:tblCellMar>
          <w:left w:w="115" w:type="dxa"/>
          <w:bottom w:w="115" w:type="dxa"/>
          <w:right w:w="115" w:type="dxa"/>
        </w:tblCellMar>
        <w:tblLook w:val="06A0" w:firstRow="1" w:lastRow="0" w:firstColumn="1" w:lastColumn="0" w:noHBand="1" w:noVBand="1"/>
      </w:tblPr>
      <w:tblGrid>
        <w:gridCol w:w="2880"/>
        <w:gridCol w:w="8095"/>
      </w:tblGrid>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NCT04925284</w:t>
            </w:r>
          </w:p>
          <w:p w14:paraId="63C1FE1F" w14:textId="79F2C95B" w:rsidR="006556CC" w:rsidRDefault="006556CC">
            <w:pPr>
              <w:widowControl w:val="0"/>
              <w:rPr>
                <w:color w:val="7F7F7F" w:themeColor="text1" w:themeTint="80"/>
                <w:sz w:val="20"/>
                <w:szCs w:val="20"/>
              </w:rPr>
            </w:pPr>
            <w:r>
              <w:t xml:space="preserve">Started: </w:t>
            </w:r>
            <w:r w:rsidR="00E03C3A">
              <w:t xml:space="preserve">June 7, 2021</w:t>
            </w:r>
            <w:proofErr w:type="spellStart"/>
            <w:r w:rsidR="00E03C3A">
              <w:t/>
            </w:r>
            <w:proofErr w:type="spellEnd"/>
            <w:r w:rsidR="00E03C3A">
              <w:t/>
            </w:r>
            <w:r>
              <w:br/>
              <w:t xml:space="preserve">Ends: </w:t>
            </w:r>
            <w:r w:rsidR="00E03C3A">
              <w:t xml:space="preserve">October 7, 2024</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xml:space="preserve">I</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Nivolumab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Bevacizumab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Study of XB002 in Subjects With Solid Tumors (JEWEL-101)</w:t>
            </w:r>
          </w:p>
          <w:p w14:paraId="3A4533F3" w14:textId="4ED2331B" w:rsidR="00567A7A" w:rsidRDefault="005F2DFC">
            <w:pPr>
              <w:spacing w:before="200"/>
            </w:pPr>
            <w:r>
              <w:rPr>
                <w:sz w:val="20"/>
                <w:szCs w:val="20"/>
              </w:rPr>
              <w:t xml:space="preserve">This is a Phase 1, open-label, multicenter, dose-escalation and expansion study evaluating the safety, tolerability, PK, pharmacodynamics, and clinical antitumor activity of XB002 administered IV q3w alone and in combination with nivolumab or bevacizumab to subjects with advanced solid tumors.</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E03C3A">
              <w:rPr>
                <w:color w:val="000000" w:themeColor="text1"/>
                <w:sz w:val="20"/>
              </w:rPr>
              <w:t/>
            </w:r>
          </w:p>
        </w:tc>
      </w:tr>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NCT03178552</w:t>
            </w:r>
          </w:p>
          <w:p w14:paraId="63C1FE1F" w14:textId="79F2C95B" w:rsidR="006556CC" w:rsidRDefault="006556CC">
            <w:pPr>
              <w:widowControl w:val="0"/>
              <w:rPr>
                <w:color w:val="7F7F7F" w:themeColor="text1" w:themeTint="80"/>
                <w:sz w:val="20"/>
                <w:szCs w:val="20"/>
              </w:rPr>
            </w:pPr>
            <w:r>
              <w:t xml:space="preserve">Started: </w:t>
            </w:r>
            <w:r w:rsidR="00E03C3A">
              <w:t xml:space="preserve">September 22, 2017</w:t>
            </w:r>
            <w:proofErr w:type="spellStart"/>
            <w:r w:rsidR="00E03C3A">
              <w:t/>
            </w:r>
            <w:proofErr w:type="spellEnd"/>
            <w:r w:rsidR="00E03C3A">
              <w:t/>
            </w:r>
            <w:r>
              <w:br/>
              <w:t xml:space="preserve">Ends: </w:t>
            </w:r>
            <w:r w:rsidR="00E03C3A">
              <w:t xml:space="preserve">April 27, 2024</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xml:space="preserve">II/III</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Atezolizumab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Bevacizumab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A Study to Evaluate the Efficacy and Safety of Multiple Targeted Therapies as Treatments for Participants With Non-Small Cell Lung Cancer (NSCLC)</w:t>
            </w:r>
          </w:p>
          <w:p w14:paraId="3A4533F3" w14:textId="4ED2331B" w:rsidR="00567A7A" w:rsidRDefault="005F2DFC">
            <w:pPr>
              <w:spacing w:before="200"/>
            </w:pPr>
            <w:r>
              <w:rPr>
                <w:sz w:val="20"/>
                <w:szCs w:val="20"/>
              </w:rPr>
              <w:t xml:space="preserve">This is a phase 2/3, global, multicenter, open-label, multi-cohort study designed to evaluate the safety and efficacy of targeted therapies or immunotherapy as single agents or in combination in participants with unresectable, advanced or metastatic NSCLC determined to harbor oncogenic somatic mutations or positive by tumor mutational burden (TMB) assay as identified by two blood-based next-generation sequencing (NGS) circulating tumor DNA (ctDNA) assays.</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E03C3A">
              <w:rPr>
                <w:color w:val="000000" w:themeColor="text1"/>
                <w:sz w:val="20"/>
              </w:rPr>
              <w:t/>
            </w:r>
          </w:p>
        </w:tc>
      </w:tr>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NCT03845166</w:t>
            </w:r>
          </w:p>
          <w:p w14:paraId="63C1FE1F" w14:textId="79F2C95B" w:rsidR="006556CC" w:rsidRDefault="006556CC">
            <w:pPr>
              <w:widowControl w:val="0"/>
              <w:rPr>
                <w:color w:val="7F7F7F" w:themeColor="text1" w:themeTint="80"/>
                <w:sz w:val="20"/>
                <w:szCs w:val="20"/>
              </w:rPr>
            </w:pPr>
            <w:r>
              <w:t xml:space="preserve">Started: </w:t>
            </w:r>
            <w:r w:rsidR="00E03C3A">
              <w:t xml:space="preserve">March 20, 2019</w:t>
            </w:r>
            <w:proofErr w:type="spellStart"/>
            <w:r w:rsidR="00E03C3A">
              <w:t/>
            </w:r>
            <w:proofErr w:type="spellEnd"/>
            <w:r w:rsidR="00E03C3A">
              <w:t/>
            </w:r>
            <w:r>
              <w:br/>
              <w:t xml:space="preserve">Ends: </w:t>
            </w:r>
            <w:r w:rsidR="00E03C3A">
              <w:t xml:space="preserve">November 2024</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xml:space="preserve">I</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Atezolizumab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A Study of XL092 as Single-Agent and Combination Therapy in Subjects With Solid Tumors</w:t>
            </w:r>
          </w:p>
          <w:p w14:paraId="3A4533F3" w14:textId="4ED2331B" w:rsidR="00567A7A" w:rsidRDefault="005F2DFC">
            <w:pPr>
              <w:spacing w:before="200"/>
            </w:pPr>
            <w:r>
              <w:rPr>
                <w:sz w:val="20"/>
                <w:szCs w:val="20"/>
              </w:rPr>
              <w:t xml:space="preserve">This is a Phase 1, open-label, dose-escalation and expansion study, evaluating the safety, tolerability, pharmacokinetics (PK), preliminary antitumor activity, and effect on biomarkers of XL092 administered alone, in combination with atezolizumab, and in combination with avelumab to subjects with advanced solid tumors.</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E03C3A">
              <w:rPr>
                <w:color w:val="000000" w:themeColor="text1"/>
                <w:sz w:val="20"/>
              </w:rPr>
              <w:t/>
            </w:r>
          </w:p>
        </w:tc>
      </w:tr>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NCT03811002</w:t>
            </w:r>
          </w:p>
          <w:p w14:paraId="63C1FE1F" w14:textId="79F2C95B" w:rsidR="006556CC" w:rsidRDefault="006556CC">
            <w:pPr>
              <w:widowControl w:val="0"/>
              <w:rPr>
                <w:color w:val="7F7F7F" w:themeColor="text1" w:themeTint="80"/>
                <w:sz w:val="20"/>
                <w:szCs w:val="20"/>
              </w:rPr>
            </w:pPr>
            <w:r>
              <w:t xml:space="preserve">Started: </w:t>
            </w:r>
            <w:r w:rsidR="00E03C3A">
              <w:t xml:space="preserve">May 28, 2019</w:t>
            </w:r>
            <w:proofErr w:type="spellStart"/>
            <w:r w:rsidR="00E03C3A">
              <w:t/>
            </w:r>
            <w:proofErr w:type="spellEnd"/>
            <w:r w:rsidR="00E03C3A">
              <w:t/>
            </w:r>
            <w:r>
              <w:br/>
              <w:t xml:space="preserve">Ends: </w:t>
            </w:r>
            <w:r w:rsidR="00E03C3A">
              <w:t xml:space="preserve">December 28, 2026</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xml:space="preserve">II/III</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Atezolizumab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Testing the Addition of a New Immunotherapy Drug, Atezolizumab (MPDL3280A), to the Usual Chemoradiation (CRT) Therapy Treatment for Limited Stage Small Cell Lung Cancer (LS-SCLC)</w:t>
            </w:r>
          </w:p>
          <w:p w14:paraId="3A4533F3" w14:textId="4ED2331B" w:rsidR="00567A7A" w:rsidRDefault="005F2DFC">
            <w:pPr>
              <w:spacing w:before="200"/>
            </w:pPr>
            <w:r>
              <w:rPr>
                <w:sz w:val="20"/>
                <w:szCs w:val="20"/>
              </w:rPr>
              <w:t xml:space="preserve">This phase II/III trial studies how well chemotherapy and radiation therapy (chemoradiation) with or without atezolizumab works in treating patients with limited stage small cell lung cancer. Drugs used in chemotherapy, such as etoposide, cisplatin, and carboplatin, work in different ways to stop the growth of tumor cells, either by killing the cells, by stopping them from dividing, or by stopping them from spreading. Radiation therapy uses high energy x-rays to kill tumor cells and shrink tumors. Immunotherapy with monoclonal antibodies, such as atezolizumab, may help the body's immune system attack the cancer, and may interfere with the ability of tumor cells to grow and spread. Giving chemoradiation with or without atezolizumab may work better in treating patients with limited stage small cell lung cancer.</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E03C3A">
              <w:rPr>
                <w:color w:val="000000" w:themeColor="text1"/>
                <w:sz w:val="20"/>
              </w:rPr>
              <w:t/>
            </w:r>
          </w:p>
        </w:tc>
      </w:tr>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NCT03831932</w:t>
            </w:r>
          </w:p>
          <w:p w14:paraId="63C1FE1F" w14:textId="79F2C95B" w:rsidR="006556CC" w:rsidRDefault="006556CC">
            <w:pPr>
              <w:widowControl w:val="0"/>
              <w:rPr>
                <w:color w:val="7F7F7F" w:themeColor="text1" w:themeTint="80"/>
                <w:sz w:val="20"/>
                <w:szCs w:val="20"/>
              </w:rPr>
            </w:pPr>
            <w:r>
              <w:t xml:space="preserve">Started: </w:t>
            </w:r>
            <w:r w:rsidR="00E03C3A">
              <w:t xml:space="preserve">May 2, 2019</w:t>
            </w:r>
            <w:proofErr w:type="spellStart"/>
            <w:r w:rsidR="00E03C3A">
              <w:t/>
            </w:r>
            <w:proofErr w:type="spellEnd"/>
            <w:r w:rsidR="00E03C3A">
              <w:t/>
            </w:r>
            <w:r>
              <w:br/>
              <w:t xml:space="preserve">Ends: </w:t>
            </w:r>
            <w:r w:rsidR="00E03C3A">
              <w:t xml:space="preserve">June 1, 2023</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xml:space="preserve">I/II</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Osimertinib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xml:space="preserve">EGFR T790M</w:t>
            </w:r>
          </w:p>
          <w:p w14:paraId="33C43143" w14:textId="2072C2E6" w:rsidR="005F2DFC" w:rsidRDefault="005F2DFC" w:rsidP="001823E0">
            <w:pPr>
              <w:rPr>
                <w:color w:val="7F7F7F" w:themeColor="text1" w:themeTint="80"/>
                <w:sz w:val="20"/>
                <w:szCs w:val="20"/>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Telaglenastat Hydrochloride and Osimertinib in Treating Patients With EGFR-Mutated Stage IV Non-small Cell Lung Cancer</w:t>
            </w:r>
          </w:p>
          <w:p w14:paraId="3A4533F3" w14:textId="4ED2331B" w:rsidR="00567A7A" w:rsidRDefault="005F2DFC">
            <w:pPr>
              <w:spacing w:before="200"/>
            </w:pPr>
            <w:r>
              <w:rPr>
                <w:sz w:val="20"/>
                <w:szCs w:val="20"/>
              </w:rPr>
              <w:t xml:space="preserve">This phase Ib trial studies the side effects and best dose of telaglenastat hydrochloride when given together with osimertinib in treating patients with stage IV non-small cell lung cancer and a mutation in the EGFR gene. Telaglenastat hydrochloride and osimertinib may stop the growth of tumor cells by blocking some of the enzymes needed for cell growth.</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E03C3A">
              <w:rPr>
                <w:color w:val="000000" w:themeColor="text1"/>
                <w:sz w:val="20"/>
              </w:rPr>
              <w:t/>
            </w:r>
          </w:p>
        </w:tc>
      </w:tr>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NCT04811001</w:t>
            </w:r>
          </w:p>
          <w:p w14:paraId="63C1FE1F" w14:textId="79F2C95B" w:rsidR="006556CC" w:rsidRDefault="006556CC">
            <w:pPr>
              <w:widowControl w:val="0"/>
              <w:rPr>
                <w:color w:val="7F7F7F" w:themeColor="text1" w:themeTint="80"/>
                <w:sz w:val="20"/>
                <w:szCs w:val="20"/>
              </w:rPr>
            </w:pPr>
            <w:r>
              <w:t xml:space="preserve">Started: </w:t>
            </w:r>
            <w:r w:rsidR="00E03C3A">
              <w:t xml:space="preserve">June 12, 2020</w:t>
            </w:r>
            <w:proofErr w:type="spellStart"/>
            <w:r w:rsidR="00E03C3A">
              <w:t/>
            </w:r>
            <w:proofErr w:type="spellEnd"/>
            <w:r w:rsidR="00E03C3A">
              <w:t/>
            </w:r>
            <w:r>
              <w:br/>
              <w:t xml:space="preserve">Ends: </w:t>
            </w:r>
            <w:r w:rsidR="00E03C3A">
              <w:t xml:space="preserve">December 31, 2023</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xml:space="preserve">II</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Osimertinib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Dacomitinib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xml:space="preserve">EGFR T790M</w:t>
            </w:r>
          </w:p>
          <w:p w14:paraId="33C43143" w14:textId="2072C2E6" w:rsidR="005F2DFC" w:rsidRDefault="005F2DFC" w:rsidP="001823E0">
            <w:pPr>
              <w:rPr>
                <w:color w:val="7F7F7F" w:themeColor="text1" w:themeTint="80"/>
                <w:sz w:val="20"/>
                <w:szCs w:val="20"/>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Best EGFR-TKI Sequence in NSCLC Harboring EGFR Mutations</w:t>
            </w:r>
          </w:p>
          <w:p w14:paraId="3A4533F3" w14:textId="4ED2331B" w:rsidR="00567A7A" w:rsidRDefault="005F2DFC">
            <w:pPr>
              <w:spacing w:before="200"/>
            </w:pPr>
            <w:r>
              <w:rPr>
                <w:sz w:val="20"/>
                <w:szCs w:val="20"/>
              </w:rPr>
              <w:t xml:space="preserve">The best drug sequencing of dacomitinib or osimertinib in patients with advanced or metastatic Epidermal Growth Factor Receptor (EGFR) mutation positive non-small-cell lung cancer (NSCLC) has not yet been determined. The study enables investigation of the efficacy of dacomitinib followed by or subsequent to osimertinib osimertinib in patients with classical or uncommon activating EGFR mutations. Efficacy of dacomitinib will be defined in patients with asymptomatic or controlled brain metastases, special population eligible in this clinical trial.</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2472BB" w:rsidRPr="002472BB">
              <w:rPr>
                <w:b/>
                <w:bCs/>
                <w:color w:val="262626" w:themeColor="text1" w:themeTint="D9"/>
                <w:sz w:val="20"/>
                <w:szCs w:val="20"/>
              </w:rPr>
              <w:t xml:space="preserve">Nearby Sites:</w:t>
            </w:r>
            <w:r w:rsidR="002472BB" w:rsidRPr="002472BB">
              <w:rPr>
                <w:b/>
                <w:bCs/>
                <w:color w:val="000000" w:themeColor="text1"/>
                <w:sz w:val="20"/>
                <w:szCs w:val="20"/>
              </w:rPr>
              <w:t xml:space="preserve"> </w:t>
            </w:r>
          </w:p>
          <w:p w14:paraId="1D050FC1" w14:textId="2EFDB9CB" w:rsidR="005F2DFC" w:rsidRDefault="005F2DFC" w:rsidP="002472BB">
            <w:pPr>
              <w:widowControl w:val="0"/>
              <w:spacing w:before="200"/>
              <w:rPr>
                <w:sz w:val="20"/>
              </w:rPr>
            </w:pPr>
            <w:r>
              <w:rPr>
                <w:color w:val="000000" w:themeColor="text1"/>
                <w:sz w:val="20"/>
              </w:rPr>
              <w:t xml:space="preserve">Novara</w:t>
            </w:r>
            <w:r w:rsidR="002472BB" w:rsidRPr="002472BB">
              <w:rPr>
                <w:color w:val="000000" w:themeColor="text1"/>
                <w:sz w:val="20"/>
              </w:rPr>
              <w:t xml:space="preserve">, </w:t>
            </w:r>
            <w:r>
              <w:rPr>
                <w:color w:val="000000" w:themeColor="text1"/>
                <w:sz w:val="20"/>
              </w:rPr>
              <w:t xml:space="preserve">N/A</w:t>
            </w:r>
            <w:proofErr w:type="spellStart"/>
            <w:r>
              <w:rPr>
                <w:color w:val="000000" w:themeColor="text1"/>
                <w:sz w:val="20"/>
              </w:rPr>
              <w:t/>
            </w:r>
            <w:proofErr w:type="spellEnd"/>
            <w:r>
              <w:rPr>
                <w:color w:val="000000" w:themeColor="text1"/>
                <w:sz w:val="20"/>
              </w:rPr>
              <w:t/>
            </w:r>
            <w:r w:rsidR="002472BB" w:rsidRPr="00BA0BCC">
              <w:rPr>
                <w:sz w:val="20"/>
              </w:rPr>
              <w:br/>
            </w:r>
            <w:r>
              <w:rPr>
                <w:b/>
                <w:sz w:val="20"/>
              </w:rPr>
              <w:t xml:space="preserve">A.O.U. "Maggiore della Carità</w:t>
            </w:r>
            <w:r w:rsidR="002472BB">
              <w:rPr>
                <w:sz w:val="20"/>
              </w:rPr>
              <w:br/>
            </w:r>
            <w:r w:rsidR="002472BB" w:rsidRPr="00BA0BCC">
              <w:rPr>
                <w:sz w:val="20"/>
              </w:rPr>
              <w:t xml:space="preserve">Contact:</w:t>
            </w:r>
            <w:r w:rsidR="002472BB">
              <w:rPr>
                <w:sz w:val="20"/>
              </w:rPr>
              <w:t xml:space="preserve"> </w:t>
            </w:r>
            <w:r>
              <w:rPr>
                <w:sz w:val="20"/>
              </w:rPr>
              <w:t xml:space="preserve">undefined</w:t>
            </w:r>
            <w:proofErr w:type="spellStart"/>
            <w:r>
              <w:rPr>
                <w:sz w:val="20"/>
              </w:rPr>
              <w:t/>
            </w:r>
            <w:proofErr w:type="spellEnd"/>
            <w:r>
              <w:rPr>
                <w:sz w:val="20"/>
              </w:rPr>
              <w:t/>
            </w:r>
            <w:r w:rsidR="002472BB" w:rsidRPr="00BA0BCC">
              <w:rPr>
                <w:sz w:val="20"/>
              </w:rPr>
              <w:t xml:space="preserve"> </w:t>
            </w:r>
            <w:r w:rsidR="002472BB" w:rsidRPr="00BA0BCC">
              <w:rPr>
                <w:sz w:val="20"/>
              </w:rPr>
              <w:br/>
              <w:t xml:space="preserve">Phone: </w:t>
            </w:r>
            <w:r>
              <w:rPr>
                <w:sz w:val="20"/>
              </w:rPr>
              <w:t xml:space="preserve">undefined</w:t>
            </w:r>
            <w:proofErr w:type="spellStart"/>
            <w:r>
              <w:rPr>
                <w:sz w:val="20"/>
              </w:rPr>
              <w:t/>
            </w:r>
            <w:proofErr w:type="spellEnd"/>
            <w:r>
              <w:rPr>
                <w:sz w:val="20"/>
              </w:rPr>
              <w:t/>
            </w:r>
          </w:p>
          <w:p w14:paraId="30AC0854" w14:textId="04827D14" w:rsidR="00E03C3A" w:rsidRPr="005F2DFC" w:rsidRDefault="005F2DFC" w:rsidP="002472BB">
            <w:pPr>
              <w:widowControl w:val="0"/>
              <w:spacing w:before="200"/>
              <w:rPr>
                <w:sz w:val="20"/>
              </w:rPr>
            </w:pPr>
            <w:r>
              <w:rPr>
                <w:color w:val="000000" w:themeColor="text1"/>
                <w:sz w:val="20"/>
              </w:rPr>
              <w:t/>
            </w:r>
            <w:r w:rsidR="00E03C3A">
              <w:rPr>
                <w:color w:val="000000" w:themeColor="text1"/>
                <w:sz w:val="20"/>
              </w:rPr>
              <w:t/>
            </w:r>
          </w:p>
        </w:tc>
      </w:tr>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NCT05091567</w:t>
            </w:r>
          </w:p>
          <w:p w14:paraId="63C1FE1F" w14:textId="79F2C95B" w:rsidR="006556CC" w:rsidRDefault="006556CC">
            <w:pPr>
              <w:widowControl w:val="0"/>
              <w:rPr>
                <w:color w:val="7F7F7F" w:themeColor="text1" w:themeTint="80"/>
                <w:sz w:val="20"/>
                <w:szCs w:val="20"/>
              </w:rPr>
            </w:pPr>
            <w:r>
              <w:t xml:space="preserve">Started: </w:t>
            </w:r>
            <w:r w:rsidR="00E03C3A">
              <w:t xml:space="preserve">November 18, 2021</w:t>
            </w:r>
            <w:proofErr w:type="spellStart"/>
            <w:r w:rsidR="00E03C3A">
              <w:t/>
            </w:r>
            <w:proofErr w:type="spellEnd"/>
            <w:r w:rsidR="00E03C3A">
              <w:t/>
            </w:r>
            <w:r>
              <w:br/>
              <w:t xml:space="preserve">Ends: </w:t>
            </w:r>
            <w:r w:rsidR="00E03C3A">
              <w:t xml:space="preserve">March 6, 2026</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xml:space="preserve">III</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Atezolizumab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A Phase III, Open-Label Study of Maintenance Lurbinectedin in Combination With Atezolizumab Compared With Atezolizumab in Participants With Extensive-Stage Small-Cell Lung Cancer</w:t>
            </w:r>
          </w:p>
          <w:p w14:paraId="3A4533F3" w14:textId="4ED2331B" w:rsidR="00567A7A" w:rsidRDefault="005F2DFC">
            <w:pPr>
              <w:spacing w:before="200"/>
            </w:pPr>
            <w:r>
              <w:rPr>
                <w:sz w:val="20"/>
                <w:szCs w:val="20"/>
              </w:rPr>
              <w:t xml:space="preserve">Study GO43104 is a Phase III, randomized, open-label, multicenter study of lurbinectedin in combination with atezolizumab compared with atezolizumab alone administered as maintenance therapy in participants with extensive-stage small-cell lung cancer (ES-SCLC) after first-line induction therapy with carboplatin, etoposide, and atezolizumab. The study consists of 2 phases: an induction phase and a maintenance phase. Participants need to have an ongoing response or stable disease per the Response Evaluation Criteria in Solid Tumor (RECIST) v1.1 criteria after completion of 4 cycles of carboplatin, etoposide, and atezolizumab induction treatment in order to be considered for eligibility screening for the maintenance phase. Eligible participants will be randomized in a 1:1 ratio to receive either lurbinectedin plus atezolizumab or atezolizumab in the maintenance phase.</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E03C3A">
              <w:rPr>
                <w:color w:val="000000" w:themeColor="text1"/>
                <w:sz w:val="20"/>
              </w:rPr>
              <w:t/>
            </w:r>
          </w:p>
        </w:tc>
      </w:tr>
      <w:tr w:rsidR="006556CC" w14:paraId="52C8574E" w14:textId="77777777" w:rsidTr="005C562F">
        <w:trPr>
          <w:trHeight w:val="755"/>
        </w:trPr>
        <w:tc>
          <w:tcPr>
            <w:tcW w:w="2880" w:type="dxa"/>
            <w:tcBorders>
              <w:top w:val="single" w:sz="4" w:space="0" w:color="auto"/>
            </w:tcBorders>
          </w:tcPr>
          <w:p w14:paraId="6A7348F0" w14:textId="51C76CF1" w:rsidR="006556CC" w:rsidRPr="00453925" w:rsidRDefault="00E03C3A">
            <w:pPr>
              <w:widowControl w:val="0"/>
              <w:spacing w:before="200"/>
              <w:rPr>
                <w:b/>
                <w:i/>
                <w:color w:val="262626" w:themeColor="text1" w:themeTint="D9"/>
                <w:sz w:val="28"/>
                <w:szCs w:val="28"/>
              </w:rPr>
            </w:pPr>
            <w:r>
              <w:rPr>
                <w:b/>
                <w:i/>
                <w:color w:val="262626" w:themeColor="text1" w:themeTint="D9"/>
                <w:sz w:val="28"/>
                <w:szCs w:val="28"/>
              </w:rPr>
              <w:t xml:space="preserve">NCT03782207</w:t>
            </w:r>
          </w:p>
          <w:p w14:paraId="63C1FE1F" w14:textId="79F2C95B" w:rsidR="006556CC" w:rsidRDefault="006556CC">
            <w:pPr>
              <w:widowControl w:val="0"/>
              <w:rPr>
                <w:color w:val="7F7F7F" w:themeColor="text1" w:themeTint="80"/>
                <w:sz w:val="20"/>
                <w:szCs w:val="20"/>
              </w:rPr>
            </w:pPr>
            <w:r>
              <w:t xml:space="preserve">Started: </w:t>
            </w:r>
            <w:r w:rsidR="00E03C3A">
              <w:t xml:space="preserve">February 7, 2019</w:t>
            </w:r>
            <w:proofErr w:type="spellStart"/>
            <w:r w:rsidR="00E03C3A">
              <w:t/>
            </w:r>
            <w:proofErr w:type="spellEnd"/>
            <w:r w:rsidR="00E03C3A">
              <w:t/>
            </w:r>
            <w:r>
              <w:br/>
              <w:t xml:space="preserve">Ends: </w:t>
            </w:r>
            <w:r w:rsidR="00E03C3A">
              <w:t xml:space="preserve">December 19, 2026</w:t>
            </w:r>
            <w:proofErr w:type="spellStart"/>
            <w:r w:rsidR="00E03C3A">
              <w:t/>
            </w:r>
            <w:proofErr w:type="spellEnd"/>
            <w:r w:rsidR="00E03C3A">
              <w:t/>
            </w:r>
          </w:p>
          <w:p w14:paraId="243ECA6C" w14:textId="4D21FE1B" w:rsidR="006556CC" w:rsidRPr="00B818DB" w:rsidRDefault="00B818DB" w:rsidP="001823E0">
            <w:pPr>
              <w:widowControl w:val="0"/>
              <w:spacing w:before="200"/>
              <w:rPr>
                <w:color w:val="000000" w:themeColor="text1"/>
                <w:sz w:val="20"/>
                <w:szCs w:val="20"/>
              </w:rPr>
            </w:pPr>
            <w:r>
              <w:rPr>
                <w:color w:val="7F7F7F" w:themeColor="text1" w:themeTint="80"/>
                <w:sz w:val="20"/>
                <w:szCs w:val="20"/>
              </w:rPr>
              <w:t xml:space="preserve">Phase</w:t>
            </w:r>
            <w:r w:rsidR="00C44DE0">
              <w:rPr>
                <w:color w:val="7F7F7F" w:themeColor="text1" w:themeTint="80"/>
                <w:sz w:val="20"/>
                <w:szCs w:val="20"/>
              </w:rPr>
              <w:t xml:space="preserve">: </w:t>
            </w:r>
            <w:r w:rsidR="00E03C3A">
              <w:rPr>
                <w:color w:val="7F7F7F" w:themeColor="text1" w:themeTint="80"/>
                <w:sz w:val="20"/>
                <w:szCs w:val="20"/>
              </w:rPr>
              <w:t/>
            </w:r>
            <w:proofErr w:type="spellStart"/>
            <w:r w:rsidR="00E03C3A">
              <w:rPr>
                <w:color w:val="7F7F7F" w:themeColor="text1" w:themeTint="80"/>
                <w:sz w:val="20"/>
                <w:szCs w:val="20"/>
              </w:rPr>
              <w:t/>
            </w:r>
            <w:r w:rsidR="00E03C3A" w:rsidRPr="00E03C3A">
              <w:rPr>
                <w:color w:val="7F7F7F" w:themeColor="text1" w:themeTint="80"/>
                <w:sz w:val="20"/>
                <w:szCs w:val="20"/>
              </w:rPr>
              <w:t/>
            </w:r>
            <w:proofErr w:type="spellEnd"/>
            <w:r w:rsidR="00E03C3A">
              <w:rPr>
                <w:color w:val="7F7F7F" w:themeColor="text1" w:themeTint="80"/>
                <w:sz w:val="20"/>
                <w:szCs w:val="20"/>
              </w:rPr>
              <w:t/>
            </w:r>
          </w:p>
          <w:p w14:paraId="17E85EF0" w14:textId="77777777" w:rsidR="004D1572" w:rsidRDefault="006556CC" w:rsidP="001823E0">
            <w:pPr>
              <w:widowControl w:val="0"/>
              <w:spacing w:before="200"/>
              <w:rPr>
                <w:color w:val="000000" w:themeColor="text1"/>
                <w:sz w:val="20"/>
                <w:szCs w:val="20"/>
              </w:rPr>
            </w:pPr>
            <w:r w:rsidRPr="004D1572">
              <w:rPr>
                <w:color w:val="7F7F7F" w:themeColor="text1" w:themeTint="80"/>
                <w:sz w:val="20"/>
                <w:szCs w:val="20"/>
              </w:rPr>
              <w:t xml:space="preserve">Relevant Therapy:</w:t>
            </w:r>
          </w:p>
          <w:p w14:paraId="488EDE86" w14:textId="7AE9155B" w:rsidR="006556CC" w:rsidRPr="004D1572" w:rsidRDefault="00E03C3A" w:rsidP="001823E0">
            <w:pPr>
              <w:widowControl w:val="0"/>
              <w:rPr>
                <w:b/>
                <w:color w:val="7F7F7F" w:themeColor="text1" w:themeTint="80"/>
                <w:sz w:val="20"/>
                <w:szCs w:val="20"/>
              </w:rPr>
            </w:pPr>
            <w:r>
              <w:rPr>
                <w:sz w:val="24"/>
                <w:szCs w:val="24"/>
              </w:rPr>
              <w:t/>
            </w:r>
            <w:r w:rsidR="00CA5BBD">
              <w:rPr>
                <w:sz w:val="24"/>
                <w:szCs w:val="24"/>
              </w:rPr>
              <w:t xml:space="preserve">Atezolizumab</w:t>
            </w:r>
            <w:r>
              <w:rPr>
                <w:sz w:val="24"/>
                <w:szCs w:val="24"/>
              </w:rPr>
              <w:t/>
            </w:r>
            <w:r w:rsidR="00CA5BBD">
              <w:rPr>
                <w:sz w:val="24"/>
                <w:szCs w:val="24"/>
              </w:rPr>
              <w:t/>
            </w:r>
          </w:p>
          <w:p w14:paraId="2BFBA382" w14:textId="27DE8DC8" w:rsidR="006556CC" w:rsidRPr="004D1572" w:rsidRDefault="00E03C3A" w:rsidP="001823E0">
            <w:pPr>
              <w:widowControl w:val="0"/>
              <w:rPr>
                <w:b/>
                <w:color w:val="7F7F7F" w:themeColor="text1" w:themeTint="80"/>
                <w:sz w:val="20"/>
                <w:szCs w:val="20"/>
              </w:rPr>
            </w:pPr>
            <w:r>
              <w:rPr>
                <w:sz w:val="24"/>
                <w:szCs w:val="24"/>
              </w:rPr>
              <w:t/>
            </w:r>
          </w:p>
          <w:p w14:paraId="6FBC6A1F" w14:textId="77777777" w:rsidR="006556CC" w:rsidRDefault="006556CC" w:rsidP="001823E0">
            <w:pPr>
              <w:widowControl w:val="0"/>
              <w:spacing w:before="200"/>
              <w:rPr>
                <w:color w:val="7F7F7F" w:themeColor="text1" w:themeTint="80"/>
                <w:sz w:val="20"/>
                <w:szCs w:val="20"/>
              </w:rPr>
            </w:pPr>
            <w:r w:rsidRPr="004D1572">
              <w:rPr>
                <w:color w:val="7F7F7F" w:themeColor="text1" w:themeTint="80"/>
                <w:sz w:val="20"/>
                <w:szCs w:val="20"/>
              </w:rPr>
              <w:t xml:space="preserve">Relevant Biomarker</w:t>
            </w:r>
            <w:r>
              <w:rPr>
                <w:color w:val="000000" w:themeColor="text1"/>
                <w:sz w:val="20"/>
                <w:szCs w:val="20"/>
              </w:rPr>
              <w:t xml:space="preserve">:</w:t>
            </w:r>
          </w:p>
          <w:p w14:paraId="63D36BAA" w14:textId="7D2FF483" w:rsidR="002472BB" w:rsidRDefault="005F2DFC" w:rsidP="001823E0">
            <w:pPr>
              <w:rPr>
                <w:color w:val="000000" w:themeColor="text1"/>
                <w:sz w:val="24"/>
                <w:szCs w:val="24"/>
              </w:rPr>
            </w:pPr>
            <w:r>
              <w:rPr>
                <w:color w:val="000000" w:themeColor="text1"/>
                <w:sz w:val="24"/>
                <w:szCs w:val="24"/>
              </w:rPr>
              <w:t/>
            </w:r>
          </w:p>
          <w:p w14:paraId="2A40146F" w14:textId="6DABC386" w:rsidR="008C7C06" w:rsidRPr="002472BB" w:rsidRDefault="008C7C06" w:rsidP="001823E0">
            <w:pPr>
              <w:rPr>
                <w:color w:val="7F7F7F" w:themeColor="text1" w:themeTint="80"/>
                <w:sz w:val="20"/>
                <w:szCs w:val="20"/>
              </w:rPr>
            </w:pPr>
          </w:p>
        </w:tc>
        <w:tc>
          <w:tcPr>
            <w:tcW w:w="8095" w:type="dxa"/>
            <w:tcBorders>
              <w:top w:val="single" w:sz="4" w:space="0" w:color="auto"/>
            </w:tcBorders>
          </w:tcPr>
          <w:p w14:paraId="775CB2D3" w14:textId="569AD2BF" w:rsidR="006556CC" w:rsidRDefault="005F2DFC" w:rsidP="006556CC">
            <w:pPr>
              <w:spacing w:before="200"/>
              <w:rPr>
                <w:b/>
                <w:color w:val="262626" w:themeColor="text1" w:themeTint="D9"/>
                <w:sz w:val="20"/>
                <w:szCs w:val="20"/>
              </w:rPr>
            </w:pPr>
            <w:r>
              <w:rPr>
                <w:b/>
                <w:color w:val="262626" w:themeColor="text1" w:themeTint="D9"/>
                <w:sz w:val="20"/>
                <w:szCs w:val="20"/>
              </w:rPr>
              <w:t xml:space="preserve">A Study Investigating the Outcomes and Safety of Atezolizumab Under Real-World Conditions in Patients Treated in Routine Clinical Practice</w:t>
            </w:r>
          </w:p>
          <w:p w14:paraId="3A4533F3" w14:textId="4ED2331B" w:rsidR="00567A7A" w:rsidRDefault="005F2DFC">
            <w:pPr>
              <w:spacing w:before="200"/>
            </w:pPr>
            <w:r>
              <w:rPr>
                <w:sz w:val="20"/>
                <w:szCs w:val="20"/>
              </w:rPr>
              <w:t xml:space="preserve">This is a non-interventional, multi-country, multi-centre, multiple cohort prospective study, with retrospective collection of prior medical/treatment history data from medical records, designed to assess the real-world outcomes and safety of atezolizumab for indications in the existing label in the real world setting of routine clinical practice.</w:t>
            </w:r>
          </w:p>
          <w:p w14:paraId="0BE6CF51" w14:textId="539F6D17" w:rsidR="006556CC" w:rsidRPr="0020499F" w:rsidRDefault="006556CC" w:rsidP="006556CC">
            <w:pPr>
              <w:spacing w:before="200"/>
              <w:rPr>
                <w:color w:val="262626" w:themeColor="text1" w:themeTint="D9"/>
                <w:sz w:val="20"/>
                <w:szCs w:val="20"/>
              </w:rPr>
            </w:pPr>
            <w:r w:rsidRPr="00991229">
              <w:rPr>
                <w:b/>
                <w:color w:val="262626" w:themeColor="text1" w:themeTint="D9"/>
                <w:sz w:val="20"/>
                <w:szCs w:val="20"/>
              </w:rPr>
              <w:t xml:space="preserve">Eligibility:</w:t>
            </w:r>
            <w:r>
              <w:rPr>
                <w:color w:val="262626" w:themeColor="text1" w:themeTint="D9"/>
                <w:sz w:val="20"/>
                <w:szCs w:val="20"/>
              </w:rPr>
              <w:t xml:space="preserve"> </w:t>
            </w:r>
            <w:r w:rsidR="005F2DFC">
              <w:rPr>
                <w:color w:val="262626" w:themeColor="text1" w:themeTint="D9"/>
                <w:sz w:val="20"/>
                <w:szCs w:val="20"/>
              </w:rPr>
              <w:t xml:space="preserve">Age 18 Years+, Male or Female</w:t>
            </w:r>
          </w:p>
          <w:p w14:paraId="31F18BA3" w14:textId="0EF7B79E" w:rsidR="002472BB" w:rsidRPr="002472BB" w:rsidRDefault="005F2DFC" w:rsidP="002472BB">
            <w:pPr>
              <w:spacing w:before="240"/>
              <w:rPr>
                <w:b/>
                <w:bCs/>
                <w:color w:val="262626" w:themeColor="text1" w:themeTint="D9"/>
                <w:sz w:val="20"/>
                <w:szCs w:val="20"/>
              </w:rPr>
            </w:pPr>
            <w:r>
              <w:rPr>
                <w:b/>
                <w:bCs/>
                <w:color w:val="262626" w:themeColor="text1" w:themeTint="D9"/>
                <w:sz w:val="20"/>
                <w:szCs w:val="20"/>
              </w:rPr>
              <w:t/>
            </w:r>
            <w:r w:rsidR="00E03C3A">
              <w:rPr>
                <w:color w:val="000000" w:themeColor="text1"/>
                <w:sz w:val="20"/>
              </w:rPr>
              <w:t/>
            </w:r>
          </w:p>
        </w:tc>
      </w:tr>
    </w:tbl>
    <w:p w14:paraId="50A3C8A0" w14:textId="723E479F" w:rsidR="0070742C" w:rsidRPr="008D3845" w:rsidRDefault="008D3845" w:rsidP="002B103B">
      <w:pPr>
        <w:tabs>
          <w:tab w:val="left" w:pos="804"/>
        </w:tabs>
        <w:spacing w:after="0"/>
        <w:rPr>
          <w:rFonts w:cs="Calibri Light (Headings)"/>
          <w:bCs/>
          <w:smallCaps/>
          <w:color w:val="0D0D0D" w:themeColor="text1" w:themeTint="F2"/>
          <w:spacing w:val="10"/>
          <w:sz w:val="16"/>
          <w:szCs w:val="16"/>
        </w:rPr>
      </w:pPr>
      <w:r w:rsidRPr="008D3845">
        <w:rPr>
          <w:rFonts w:cs="Calibri Light (Headings)"/>
          <w:bCs/>
          <w:smallCaps/>
          <w:color w:val="0D0D0D" w:themeColor="text1" w:themeTint="F2"/>
          <w:spacing w:val="10"/>
          <w:sz w:val="16"/>
          <w:szCs w:val="16"/>
        </w:rPr>
        <w:t/>
      </w:r>
      <w:r w:rsidR="002B103B">
        <w:rPr>
          <w:rFonts w:cs="Calibri Light (Headings)"/>
          <w:bCs/>
          <w:smallCaps/>
          <w:color w:val="0D0D0D" w:themeColor="text1" w:themeTint="F2"/>
          <w:spacing w:val="10"/>
          <w:sz w:val="16"/>
          <w:szCs w:val="16"/>
        </w:rPr>
        <w:t/>
      </w:r>
      <w:bookmarkStart w:id="7" w:name="_Hlk115948108"/>
      <w:r w:rsidRPr="004369D0">
        <w:rPr>
          <w:rFonts w:cstheme="minorHAnsi"/>
          <w:bCs/>
          <w:smallCaps/>
          <w:color w:val="0D0D0D" w:themeColor="text1" w:themeTint="F2"/>
          <w:spacing w:val="10"/>
          <w:sz w:val="16"/>
          <w:szCs w:val="16"/>
        </w:rPr>
        <w:t/>
      </w:r>
      <w:r w:rsidR="004369D0" w:rsidRPr="004369D0">
        <w:rPr>
          <w:sz w:val="16"/>
          <w:szCs w:val="16"/>
        </w:rPr>
        <w:t/>
      </w:r>
      <w:r w:rsidRPr="004369D0">
        <w:rPr>
          <w:rFonts w:cstheme="minorHAnsi"/>
          <w:bCs/>
          <w:smallCaps/>
          <w:color w:val="0D0D0D" w:themeColor="text1" w:themeTint="F2"/>
          <w:spacing w:val="10"/>
          <w:sz w:val="16"/>
          <w:szCs w:val="16"/>
        </w:rPr>
        <w:t/>
      </w:r>
    </w:p>
    <w:p w14:paraId="017661C7" w14:textId="25F41C72" w:rsidR="00044A03" w:rsidRPr="00D25757" w:rsidRDefault="00044A03" w:rsidP="00044A03">
      <w:pPr>
        <w:spacing w:before="200" w:after="0"/>
        <w:rPr>
          <w:rFonts w:cs="Calibri Light (Headings)"/>
          <w:b/>
          <w:smallCaps/>
          <w:color w:val="0D0D0D" w:themeColor="text1" w:themeTint="F2"/>
          <w:spacing w:val="10"/>
          <w:sz w:val="28"/>
        </w:rPr>
      </w:pPr>
      <w:bookmarkStart w:id="8" w:name="_Hlk110236609"/>
      <w:bookmarkEnd w:id="7"/>
      <w:r>
        <w:rPr>
          <w:rFonts w:cs="Calibri Light (Headings)"/>
          <w:b/>
          <w:smallCaps/>
          <w:color w:val="0D0D0D" w:themeColor="text1" w:themeTint="F2"/>
          <w:spacing w:val="10"/>
          <w:sz w:val="28"/>
        </w:rPr>
        <w:t xml:space="preserve">Gene</w:t>
      </w:r>
      <w:r w:rsidRPr="00E539A2">
        <w:rPr>
          <w:rFonts w:cs="Calibri Light (Headings)"/>
          <w:b/>
          <w:smallCaps/>
          <w:color w:val="0D0D0D" w:themeColor="text1" w:themeTint="F2"/>
          <w:spacing w:val="10"/>
          <w:sz w:val="28"/>
        </w:rPr>
        <w:t xml:space="preserve"> </w:t>
      </w:r>
      <w:r>
        <w:rPr>
          <w:rFonts w:cs="Calibri Light (Headings)"/>
          <w:b/>
          <w:smallCaps/>
          <w:color w:val="0D0D0D" w:themeColor="text1" w:themeTint="F2"/>
          <w:spacing w:val="10"/>
          <w:sz w:val="28"/>
        </w:rPr>
        <w:t xml:space="preserve">Details</w:t>
      </w:r>
      <w:r>
        <w:rPr>
          <w:rFonts w:cs="Calibri Light (Headings)"/>
          <w:b/>
          <w:smallCaps/>
          <w:color w:val="0D0D0D" w:themeColor="text1" w:themeTint="F2"/>
          <w:spacing w:val="10"/>
          <w:sz w:val="28"/>
        </w:rPr>
        <w:tab/>
      </w:r>
      <w:r>
        <w:rPr>
          <w:rFonts w:cs="Calibri Light (Headings)"/>
          <w:b/>
          <w:smallCaps/>
          <w:color w:val="0D0D0D" w:themeColor="text1" w:themeTint="F2"/>
          <w:spacing w:val="10"/>
          <w:sz w:val="28"/>
        </w:rPr>
        <w:tab/>
      </w:r>
      <w:r>
        <w:rPr>
          <w:rFonts w:cs="Calibri Light (Headings)"/>
          <w:b/>
          <w:smallCaps/>
          <w:color w:val="0D0D0D" w:themeColor="text1" w:themeTint="F2"/>
          <w:spacing w:val="10"/>
          <w:sz w:val="28"/>
        </w:rPr>
        <w:tab/>
      </w:r>
    </w:p>
    <w:tbl>
      <w:tblPr>
        <w:tblStyle w:val="TableGrid"/>
        <w:tblW w:w="10735" w:type="dxa"/>
        <w:tblBorders>
          <w:left w:val="none" w:sz="0" w:space="0" w:color="auto"/>
          <w:bottom w:val="none" w:sz="0" w:space="0" w:color="auto"/>
          <w:right w:val="none" w:sz="0" w:space="0" w:color="auto"/>
          <w:insideH w:val="none" w:sz="0" w:space="0" w:color="auto"/>
          <w:insideV w:val="none" w:sz="0" w:space="0" w:color="auto"/>
        </w:tblBorders>
        <w:tblCellMar>
          <w:left w:w="115" w:type="dxa"/>
          <w:bottom w:w="115" w:type="dxa"/>
          <w:right w:w="115" w:type="dxa"/>
        </w:tblCellMar>
        <w:tblLook w:val="06A0" w:firstRow="1" w:lastRow="0" w:firstColumn="1" w:lastColumn="0" w:noHBand="1" w:noVBand="1"/>
      </w:tblPr>
      <w:tblGrid>
        <w:gridCol w:w="10735"/>
      </w:tblGrid>
      <w:tr w:rsidR="00044A03" w14:paraId="07A4F0AC" w14:textId="77777777" w:rsidTr="00533B57">
        <w:trPr>
          <w:trHeight w:val="1871"/>
        </w:trPr>
        <w:tc>
          <w:tcPr>
            <w:tcW w:w="10735" w:type="dxa"/>
            <w:tcBorders>
              <w:top w:val="single" w:sz="4" w:space="0" w:color="auto"/>
            </w:tcBorders>
          </w:tcPr>
          <w:p w14:paraId="3591B26F" w14:textId="35E1EA09" w:rsidR="00044A03" w:rsidRDefault="00604DB1" w:rsidP="00BF5412">
            <w:pPr>
              <w:widowControl w:val="0"/>
              <w:rPr>
                <w:b/>
                <w:color w:val="262626" w:themeColor="text1" w:themeTint="D9"/>
                <w:sz w:val="20"/>
                <w:szCs w:val="20"/>
              </w:rPr>
            </w:pPr>
            <w:r>
              <w:rPr>
                <w:b/>
                <w:color w:val="262626" w:themeColor="text1" w:themeTint="D9"/>
                <w:sz w:val="20"/>
                <w:szCs w:val="20"/>
              </w:rPr>
              <w:t/>
            </w:r>
            <w:bookmarkStart w:id="9" w:name="_Hlk115947662"/>
            <w:r w:rsidR="001C2499">
              <w:rPr>
                <w:b/>
                <w:color w:val="262626" w:themeColor="text1" w:themeTint="D9"/>
                <w:sz w:val="20"/>
                <w:szCs w:val="20"/>
              </w:rPr>
              <w:t/>
            </w:r>
            <w:r>
              <w:rPr>
                <w:b/>
                <w:color w:val="262626" w:themeColor="text1" w:themeTint="D9"/>
                <w:sz w:val="20"/>
                <w:szCs w:val="20"/>
              </w:rPr>
              <w:t/>
            </w:r>
            <w:bookmarkEnd w:id="9"/>
            <w:r>
              <w:rPr>
                <w:b/>
                <w:color w:val="262626" w:themeColor="text1" w:themeTint="D9"/>
                <w:sz w:val="20"/>
                <w:szCs w:val="20"/>
              </w:rPr>
              <w:t/>
            </w:r>
          </w:p>
          <w:p w14:paraId="27FD1B80" w14:textId="77777777" w:rsidR="001C2499" w:rsidRDefault="009F5ACF" w:rsidP="00BF5412">
            <w:pPr>
              <w:widowControl w:val="0"/>
              <w:rPr>
                <w:b/>
                <w:color w:val="262626" w:themeColor="text1" w:themeTint="D9"/>
                <w:sz w:val="20"/>
                <w:szCs w:val="20"/>
              </w:rPr>
            </w:pPr>
            <w:r>
              <w:rPr>
                <w:b/>
                <w:color w:val="262626" w:themeColor="text1" w:themeTint="D9"/>
                <w:sz w:val="20"/>
                <w:szCs w:val="20"/>
              </w:rPr>
              <w:t/>
            </w:r>
            <w:r w:rsidR="00C2188A">
              <w:rPr>
                <w:b/>
                <w:color w:val="262626" w:themeColor="text1" w:themeTint="D9"/>
                <w:sz w:val="20"/>
                <w:szCs w:val="20"/>
              </w:rPr>
              <w:t/>
            </w:r>
            <w:r w:rsidR="00AA71F3">
              <w:rPr>
                <w:b/>
                <w:color w:val="262626" w:themeColor="text1" w:themeTint="D9"/>
                <w:sz w:val="20"/>
                <w:szCs w:val="20"/>
              </w:rPr>
              <w:t/>
            </w:r>
            <w:r>
              <w:rPr>
                <w:b/>
                <w:color w:val="262626" w:themeColor="text1" w:themeTint="D9"/>
                <w:sz w:val="20"/>
                <w:szCs w:val="20"/>
              </w:rPr>
              <w:t/>
            </w:r>
          </w:p>
          <w:p w14:paraId="31772D6F" w14:textId="2842DBF5" w:rsidR="00044A03" w:rsidRDefault="009F5ACF" w:rsidP="00BF5412">
            <w:pPr>
              <w:widowControl w:val="0"/>
              <w:rPr>
                <w:b/>
                <w:color w:val="262626" w:themeColor="text1" w:themeTint="D9"/>
                <w:sz w:val="20"/>
                <w:szCs w:val="20"/>
              </w:rPr>
            </w:pPr>
            <w:r>
              <w:rPr>
                <w:b/>
                <w:color w:val="262626" w:themeColor="text1" w:themeTint="D9"/>
                <w:sz w:val="20"/>
                <w:szCs w:val="20"/>
              </w:rPr>
              <w:t xml:space="preserve">EGFR</w:t>
            </w:r>
            <w:r w:rsidR="00044A03">
              <w:rPr>
                <w:b/>
                <w:color w:val="262626" w:themeColor="text1" w:themeTint="D9"/>
                <w:sz w:val="20"/>
                <w:szCs w:val="20"/>
              </w:rPr>
              <w:t xml:space="preserve"> Gene Summary:</w:t>
            </w:r>
          </w:p>
          <w:p w14:paraId="3FE556BA" w14:textId="6AB081FE" w:rsidR="001C2499" w:rsidRDefault="009F5ACF" w:rsidP="001C2499">
            <w:pPr>
              <w:widowControl w:val="0"/>
              <w:rPr>
                <w:sz w:val="20"/>
                <w:szCs w:val="20"/>
              </w:rPr>
            </w:pPr>
            <w:r>
              <w:rPr>
                <w:sz w:val="20"/>
                <w:szCs w:val="20"/>
                <w:i/>
              </w:rPr>
              <w:t xml:space="preserve">EGFR</w:t>
            </w:r>
            <w:r>
              <w:rPr>
                <w:sz w:val="20"/>
                <w:szCs w:val="20"/>
              </w:rPr>
              <w:t xml:space="preserve"> (</w:t>
            </w:r>
            <w:r>
              <w:rPr>
                <w:sz w:val="20"/>
                <w:szCs w:val="20"/>
                <w:i/>
              </w:rPr>
              <w:t xml:space="preserve">epidermal growth factor receptor</w:t>
            </w:r>
            <w:r>
              <w:rPr>
                <w:sz w:val="20"/>
                <w:szCs w:val="20"/>
              </w:rPr>
              <w:t xml:space="preserve">) encodes a proto-oncogene and cell surface transmembrane glycoprotein. EGFR is a member of the EGFR/ErbB family of tyrosine kinases which also includes ERBB2 (HER2), ERBB3 (HER3), and ERBB4 (PMID: 18259690, 19208461, 22239438, 32219702). EGFR is expressed in tissues of epithelial, mesenchymal, and neuronal origin, and has an important role in regulating normal cellular processes including proliferation, differentiation, development, and survival (PMID: 14666659, 29991287, 35840984). Oncogenic </w:t>
            </w:r>
            <w:r>
              <w:rPr>
                <w:sz w:val="20"/>
                <w:szCs w:val="20"/>
                <w:i/>
              </w:rPr>
              <w:t xml:space="preserve">EGFR</w:t>
            </w:r>
            <w:r>
              <w:rPr>
                <w:sz w:val="20"/>
                <w:szCs w:val="20"/>
              </w:rPr>
              <w:t xml:space="preserve"> amplification or mutations in the </w:t>
            </w:r>
            <w:r>
              <w:rPr>
                <w:sz w:val="20"/>
                <w:szCs w:val="20"/>
                <w:i/>
              </w:rPr>
              <w:t xml:space="preserve">EGFR</w:t>
            </w:r>
            <w:r>
              <w:rPr>
                <w:sz w:val="20"/>
                <w:szCs w:val="20"/>
              </w:rPr>
              <w:t xml:space="preserve"> intracellular domain lead to EGFR overexpression and ligand-independent activation of downstream signaling pathways, resulting either directly or indirectly in increased cell proliferation, angiogenesis, invasion, and metastasis (PMID: 25870793, 29991287, 32069320, 35867821). Germline mutations in the </w:t>
            </w:r>
            <w:r>
              <w:rPr>
                <w:sz w:val="20"/>
                <w:szCs w:val="20"/>
                <w:i/>
              </w:rPr>
              <w:t xml:space="preserve">EGFR</w:t>
            </w:r>
            <w:r>
              <w:rPr>
                <w:sz w:val="20"/>
                <w:szCs w:val="20"/>
              </w:rPr>
              <w:t xml:space="preserve"> kinase domain are associated with a predisposition to lung cancer (PMID: 30225213, 34670806). Somatic </w:t>
            </w:r>
            <w:r>
              <w:rPr>
                <w:sz w:val="20"/>
                <w:szCs w:val="20"/>
                <w:i/>
              </w:rPr>
              <w:t xml:space="preserve">EGFR</w:t>
            </w:r>
            <w:r>
              <w:rPr>
                <w:sz w:val="20"/>
                <w:szCs w:val="20"/>
              </w:rPr>
              <w:t xml:space="preserve"> alterations have been reported in lung cancer, glioblastoma, and a variety of additional tumor types (cBioPortal, COSMIC). The most common oncogenic EGFR alterations are gene amplification and missense substitutions (cBioPortal, COSMIC).</w:t>
            </w:r>
            <w:r w:rsidR="00AA16FB">
              <w:rPr>
                <w:sz w:val="20"/>
                <w:szCs w:val="20"/>
              </w:rPr>
              <w:t/>
            </w:r>
            <w:proofErr w:type="spellStart"/>
            <w:r>
              <w:rPr>
                <w:sz w:val="20"/>
                <w:szCs w:val="20"/>
              </w:rPr>
              <w:t/>
            </w:r>
            <w:proofErr w:type="spellEnd"/>
            <w:r>
              <w:rPr>
                <w:sz w:val="20"/>
                <w:szCs w:val="20"/>
              </w:rPr>
              <w:t/>
            </w:r>
            <w:r w:rsidR="00B230F5">
              <w:rPr>
                <w:sz w:val="20"/>
                <w:szCs w:val="20"/>
              </w:rPr>
              <w:t xml:space="preserve"> </w:t>
            </w:r>
          </w:p>
          <w:p w14:paraId="1A4907D0" w14:textId="77777777" w:rsidR="001C2499" w:rsidRDefault="009F5ACF" w:rsidP="001C2499">
            <w:pPr>
              <w:widowControl w:val="0"/>
              <w:rPr>
                <w:b/>
                <w:color w:val="262626" w:themeColor="text1" w:themeTint="D9"/>
                <w:sz w:val="20"/>
                <w:szCs w:val="20"/>
              </w:rPr>
            </w:pPr>
            <w:r>
              <w:rPr>
                <w:sz w:val="20"/>
                <w:szCs w:val="20"/>
              </w:rPr>
              <w:t/>
            </w:r>
            <w:r w:rsidR="005B6869">
              <w:rPr>
                <w:b/>
                <w:color w:val="262626" w:themeColor="text1" w:themeTint="D9"/>
                <w:sz w:val="20"/>
                <w:szCs w:val="20"/>
              </w:rPr>
              <w:t/>
            </w:r>
            <w:r w:rsidR="00C82850">
              <w:rPr>
                <w:b/>
                <w:color w:val="262626" w:themeColor="text1" w:themeTint="D9"/>
                <w:sz w:val="20"/>
                <w:szCs w:val="20"/>
              </w:rPr>
              <w:t/>
            </w:r>
            <w:r w:rsidR="005B6869">
              <w:rPr>
                <w:b/>
                <w:color w:val="262626" w:themeColor="text1" w:themeTint="D9"/>
                <w:sz w:val="20"/>
                <w:szCs w:val="20"/>
              </w:rPr>
              <w:t/>
            </w:r>
          </w:p>
          <w:p w14:paraId="77EF775B" w14:textId="3414BAA4" w:rsidR="00044A03" w:rsidRPr="001C2499" w:rsidRDefault="005B6869" w:rsidP="001C2499">
            <w:pPr>
              <w:widowControl w:val="0"/>
              <w:rPr>
                <w:sz w:val="20"/>
                <w:szCs w:val="20"/>
              </w:rPr>
            </w:pPr>
            <w:r>
              <w:rPr>
                <w:b/>
                <w:color w:val="262626" w:themeColor="text1" w:themeTint="D9"/>
                <w:sz w:val="20"/>
                <w:szCs w:val="20"/>
              </w:rPr>
              <w:t xml:space="preserve">EGFR</w:t>
            </w:r>
            <w:r w:rsidR="00044A03">
              <w:rPr>
                <w:b/>
                <w:color w:val="262626" w:themeColor="text1" w:themeTint="D9"/>
                <w:sz w:val="20"/>
                <w:szCs w:val="20"/>
              </w:rPr>
              <w:t xml:space="preserve"> Outcomes &amp; Frequencies</w:t>
            </w:r>
            <w:r w:rsidR="00044A03" w:rsidRPr="002F70CC">
              <w:rPr>
                <w:b/>
                <w:color w:val="262626" w:themeColor="text1" w:themeTint="D9"/>
                <w:sz w:val="20"/>
                <w:szCs w:val="20"/>
              </w:rPr>
              <w:t xml:space="preserve">:</w:t>
            </w:r>
          </w:p>
          <w:p w14:paraId="6B1B0BEA" w14:textId="49823D62" w:rsidR="00044A03" w:rsidRPr="00533B57" w:rsidRDefault="005B6869" w:rsidP="00533B57">
            <w:pPr>
              <w:widowControl w:val="0"/>
              <w:rPr>
                <w:sz w:val="20"/>
                <w:szCs w:val="20"/>
              </w:rPr>
            </w:pPr>
            <w:r>
              <w:rPr>
                <w:sz w:val="20"/>
                <w:szCs w:val="20"/>
                <w:i/>
              </w:rPr>
              <w:t xml:space="preserve">EGFR</w:t>
            </w:r>
            <w:r>
              <w:rPr>
                <w:sz w:val="20"/>
                <w:szCs w:val="20"/>
              </w:rPr>
              <w:t xml:space="preserve"> is one of the most frequently altered oncogenes in solid tumors (PMID: 16787682).</w:t>
            </w:r>
            <w:r>
              <w:rPr>
                <w:sz w:val="20"/>
                <w:szCs w:val="20"/>
                <w:i/>
              </w:rPr>
              <w:t xml:space="preserve"> EGFR</w:t>
            </w:r>
            <w:r>
              <w:rPr>
                <w:sz w:val="20"/>
                <w:szCs w:val="20"/>
              </w:rPr>
              <w:t xml:space="preserve"> alterations have been reported in diverse human malignancies, including non-small cell lung cancer (NSCLC), glioblastoma, breast, ovarian, gastric, and colon cancer (cBioPortal, COSMIC, PMID: 7612182).</w:t>
            </w:r>
            <w:r>
              <w:rPr>
                <w:sz w:val="20"/>
                <w:szCs w:val="20"/>
                <w:i/>
              </w:rPr>
              <w:t xml:space="preserve">EGFR</w:t>
            </w:r>
            <w:r>
              <w:rPr>
                <w:sz w:val="20"/>
                <w:szCs w:val="20"/>
              </w:rPr>
              <w:t xml:space="preserve"> overexpression has been reported in 40-89% of patients with NSCLC (PMID: 25870793). </w:t>
            </w:r>
            <w:r>
              <w:rPr>
                <w:sz w:val="20"/>
                <w:szCs w:val="20"/>
                <w:i/>
              </w:rPr>
              <w:t xml:space="preserve">EGFR</w:t>
            </w:r>
            <w:r>
              <w:rPr>
                <w:sz w:val="20"/>
                <w:szCs w:val="20"/>
              </w:rPr>
              <w:t xml:space="preserve"> mutations, which occur in ~10-15% of Caucasian NSCLC patients and up to 50% of Asian NSCLC patients, are associated with female gender, non-smoking history, and adenocarcinoma histology (PMID: 26609494, 29657128, 25079552, 18948947, 27346245, 22980975, 28336552, 32015526). More than 90% of oncogenic </w:t>
            </w:r>
            <w:r>
              <w:rPr>
                <w:sz w:val="20"/>
                <w:szCs w:val="20"/>
                <w:i/>
              </w:rPr>
              <w:t xml:space="preserve">EGFR</w:t>
            </w:r>
            <w:r>
              <w:rPr>
                <w:sz w:val="20"/>
                <w:szCs w:val="20"/>
              </w:rPr>
              <w:t xml:space="preserve"> mutations in NSCLC are concentrated in exons 19 and 21 (PMID: 23470965, 34489119). The two most common types of </w:t>
            </w:r>
            <w:r>
              <w:rPr>
                <w:sz w:val="20"/>
                <w:szCs w:val="20"/>
                <w:i/>
              </w:rPr>
              <w:t xml:space="preserve">EGFR</w:t>
            </w:r>
            <w:r>
              <w:rPr>
                <w:sz w:val="20"/>
                <w:szCs w:val="20"/>
              </w:rPr>
              <w:t xml:space="preserve"> activating mutations are short in-frame deletions in exon 19 that encompass the conserved LREA amino acid sequence at codons 747-750 (45% of NSCLC patients with mutated EGFR) and the exon 21 point mutation p.L858R (40% of NSCLC patients with mutated EGFR); these mutations are referred to as sensitizing </w:t>
            </w:r>
            <w:r>
              <w:rPr>
                <w:sz w:val="20"/>
                <w:szCs w:val="20"/>
                <w:i/>
              </w:rPr>
              <w:t xml:space="preserve">EGFR</w:t>
            </w:r>
            <w:r>
              <w:rPr>
                <w:sz w:val="20"/>
                <w:szCs w:val="20"/>
              </w:rPr>
              <w:t xml:space="preserve"> mutations and have predictive value for clinical benefit from EGFR-targeted tyrosine kinase inhibitor (TKI) therapy in patients with advanced NSCLC (PMID: 16014883, 25162713, 30608948, 35661118).  Other less common (approximately 10% of NSCLC patients with mutated </w:t>
            </w:r>
            <w:r>
              <w:rPr>
                <w:sz w:val="20"/>
                <w:szCs w:val="20"/>
                <w:i/>
              </w:rPr>
              <w:t xml:space="preserve">EGFR</w:t>
            </w:r>
            <w:r>
              <w:rPr>
                <w:sz w:val="20"/>
                <w:szCs w:val="20"/>
              </w:rPr>
              <w:t xml:space="preserve">) </w:t>
            </w:r>
            <w:r>
              <w:rPr>
                <w:sz w:val="20"/>
                <w:szCs w:val="20"/>
                <w:i/>
              </w:rPr>
              <w:t xml:space="preserve">EGFR</w:t>
            </w:r>
            <w:r>
              <w:rPr>
                <w:sz w:val="20"/>
                <w:szCs w:val="20"/>
              </w:rPr>
              <w:t xml:space="preserve"> mutations are reported throughout exons 18-21, including exon 19 insertions, p.L861Q, p.G719X, and p.S768I, and also confer sensitivity to EGFR TKIs (PMID: 17189394, 28577943, 25870793).</w:t>
            </w:r>
            <w:r>
              <w:rPr>
                <w:sz w:val="20"/>
                <w:szCs w:val="20"/>
              </w:rPr>
              <w:t xml:space="preserve">Despite predicting responsiveness to EGFR TKIs, sensitizing </w:t>
            </w:r>
            <w:r>
              <w:rPr>
                <w:sz w:val="20"/>
                <w:szCs w:val="20"/>
                <w:i/>
              </w:rPr>
              <w:t xml:space="preserve">EGFR</w:t>
            </w:r>
            <w:r>
              <w:rPr>
                <w:sz w:val="20"/>
                <w:szCs w:val="20"/>
              </w:rPr>
              <w:t xml:space="preserve"> mutations are not used as prognostic indicator of survival for patients with NSCLC, independent of therapy (PMID: 16014883). Relapse is common following first-line EGFR TKI therapy, and the 5-year overall survival rate for NSCLC patients remains poor, with a survival estimate of 68% for patients with early-stage disease and 0-10% for patients with late-stage disease (PMID: 35337281).</w:t>
            </w:r>
            <w:r w:rsidR="00AA16FB">
              <w:rPr>
                <w:sz w:val="20"/>
                <w:szCs w:val="20"/>
              </w:rPr>
              <w:t/>
            </w:r>
            <w:proofErr w:type="spellStart"/>
            <w:r>
              <w:rPr>
                <w:sz w:val="20"/>
                <w:szCs w:val="20"/>
              </w:rPr>
              <w:t/>
            </w:r>
            <w:proofErr w:type="spellEnd"/>
            <w:r>
              <w:rPr>
                <w:sz w:val="20"/>
                <w:szCs w:val="20"/>
              </w:rPr>
              <w:t/>
            </w:r>
            <w:r w:rsidR="00F2169F">
              <w:rPr>
                <w:sz w:val="20"/>
                <w:szCs w:val="20"/>
              </w:rPr>
              <w:t/>
            </w:r>
            <w:bookmarkStart w:id="9" w:name="_Hlk115947662"/>
            <w:r w:rsidR="001C2499">
              <w:rPr>
                <w:b/>
                <w:color w:val="262626" w:themeColor="text1" w:themeTint="D9"/>
                <w:sz w:val="20"/>
                <w:szCs w:val="20"/>
              </w:rPr>
              <w:t/>
            </w:r>
            <w:r>
              <w:rPr>
                <w:b/>
                <w:color w:val="262626" w:themeColor="text1" w:themeTint="D9"/>
                <w:sz w:val="20"/>
                <w:szCs w:val="20"/>
              </w:rPr>
              <w:t/>
            </w:r>
            <w:bookmarkEnd w:id="9"/>
            <w:r>
              <w:rPr>
                <w:b/>
                <w:color w:val="262626" w:themeColor="text1" w:themeTint="D9"/>
                <w:sz w:val="20"/>
                <w:szCs w:val="20"/>
              </w:rPr>
              <w:t/>
            </w:r>
          </w:p>
          <w:p w14:paraId="27FD1B80" w14:textId="77777777" w:rsidR="001C2499" w:rsidRDefault="009F5ACF" w:rsidP="00BF5412">
            <w:pPr>
              <w:widowControl w:val="0"/>
              <w:rPr>
                <w:b/>
                <w:color w:val="262626" w:themeColor="text1" w:themeTint="D9"/>
                <w:sz w:val="20"/>
                <w:szCs w:val="20"/>
              </w:rPr>
            </w:pPr>
            <w:r>
              <w:rPr>
                <w:b/>
                <w:color w:val="262626" w:themeColor="text1" w:themeTint="D9"/>
                <w:sz w:val="20"/>
                <w:szCs w:val="20"/>
              </w:rPr>
              <w:t/>
            </w:r>
            <w:r w:rsidR="00C2188A">
              <w:rPr>
                <w:b/>
                <w:color w:val="262626" w:themeColor="text1" w:themeTint="D9"/>
                <w:sz w:val="20"/>
                <w:szCs w:val="20"/>
              </w:rPr>
              <w:t/>
            </w:r>
            <w:r w:rsidR="00AA71F3">
              <w:rPr>
                <w:b/>
                <w:color w:val="262626" w:themeColor="text1" w:themeTint="D9"/>
                <w:sz w:val="20"/>
                <w:szCs w:val="20"/>
              </w:rPr>
              <w:t/>
            </w:r>
            <w:r>
              <w:rPr>
                <w:b/>
                <w:color w:val="262626" w:themeColor="text1" w:themeTint="D9"/>
                <w:sz w:val="20"/>
                <w:szCs w:val="20"/>
              </w:rPr>
              <w:t/>
            </w:r>
          </w:p>
          <w:p w14:paraId="31772D6F" w14:textId="2842DBF5" w:rsidR="00044A03" w:rsidRDefault="009F5ACF" w:rsidP="00BF5412">
            <w:pPr>
              <w:widowControl w:val="0"/>
              <w:rPr>
                <w:b/>
                <w:color w:val="262626" w:themeColor="text1" w:themeTint="D9"/>
                <w:sz w:val="20"/>
                <w:szCs w:val="20"/>
              </w:rPr>
            </w:pPr>
            <w:r>
              <w:rPr>
                <w:b/>
                <w:color w:val="262626" w:themeColor="text1" w:themeTint="D9"/>
                <w:sz w:val="20"/>
                <w:szCs w:val="20"/>
              </w:rPr>
              <w:t xml:space="preserve">ALK</w:t>
            </w:r>
            <w:r w:rsidR="00044A03">
              <w:rPr>
                <w:b/>
                <w:color w:val="262626" w:themeColor="text1" w:themeTint="D9"/>
                <w:sz w:val="20"/>
                <w:szCs w:val="20"/>
              </w:rPr>
              <w:t xml:space="preserve"> Gene Summary:</w:t>
            </w:r>
          </w:p>
          <w:p w14:paraId="3FE556BA" w14:textId="6AB081FE" w:rsidR="001C2499" w:rsidRDefault="009F5ACF" w:rsidP="001C2499">
            <w:pPr>
              <w:widowControl w:val="0"/>
              <w:rPr>
                <w:sz w:val="20"/>
                <w:szCs w:val="20"/>
              </w:rPr>
            </w:pPr>
            <w:r>
              <w:rPr>
                <w:sz w:val="20"/>
                <w:szCs w:val="20"/>
                <w:i/>
              </w:rPr>
              <w:t xml:space="preserve">ALK</w:t>
            </w:r>
            <w:r>
              <w:rPr>
                <w:sz w:val="20"/>
                <w:szCs w:val="20"/>
              </w:rPr>
              <w:t xml:space="preserve"> (</w:t>
            </w:r>
            <w:r>
              <w:rPr>
                <w:sz w:val="20"/>
                <w:szCs w:val="20"/>
                <w:i/>
              </w:rPr>
              <w:t xml:space="preserve">anaplastic lymphoma kinase</w:t>
            </w:r>
            <w:r>
              <w:rPr>
                <w:sz w:val="20"/>
                <w:szCs w:val="20"/>
              </w:rPr>
              <w:t xml:space="preserve">) is a proto-oncogene that encodes ALK, a receptor tyrosine kinase that belongs to the insulin receptor tyrosine kinase family (PMID: 27468827, 33196781). When bound by ligand, ALK activates several downstream signaling pathways including the JAK-STAT, RAS-MAPK, and PI3K-mTOR pathways (PMID: 27573755). Translocations of the </w:t>
            </w:r>
            <w:r>
              <w:rPr>
                <w:sz w:val="20"/>
                <w:szCs w:val="20"/>
                <w:i/>
              </w:rPr>
              <w:t xml:space="preserve">ALK</w:t>
            </w:r>
            <w:r>
              <w:rPr>
                <w:sz w:val="20"/>
                <w:szCs w:val="20"/>
              </w:rPr>
              <w:t xml:space="preserve"> gene leading to constitutive activation are common in cancer and define a subset of non-small cell lung cancers (PMID: 27573755).</w:t>
            </w:r>
            <w:r>
              <w:rPr>
                <w:sz w:val="20"/>
                <w:szCs w:val="20"/>
                <w:i/>
              </w:rPr>
              <w:t xml:space="preserve"> ALK</w:t>
            </w:r>
            <w:r>
              <w:rPr>
                <w:sz w:val="20"/>
                <w:szCs w:val="20"/>
              </w:rPr>
              <w:t xml:space="preserve"> fusions involving various gene partners have been identified in a number of malignancies including anaplastic large cell lymphoma and inflammatory myofibroblastic tumor (PMID: 29279550, 25723109). </w:t>
            </w:r>
            <w:r>
              <w:rPr>
                <w:sz w:val="20"/>
                <w:szCs w:val="20"/>
              </w:rPr>
              <w:t xml:space="preserve">Germline gain-of-function mutations in </w:t>
            </w:r>
            <w:r>
              <w:rPr>
                <w:sz w:val="20"/>
                <w:szCs w:val="20"/>
                <w:i/>
              </w:rPr>
              <w:t xml:space="preserve">ALK </w:t>
            </w:r>
            <w:r>
              <w:rPr>
                <w:sz w:val="20"/>
                <w:szCs w:val="20"/>
              </w:rPr>
              <w:t xml:space="preserve">predispose carriers to neuroblastoma, and account for 75% of familial neuroblastoma cases (PMID: 33194750).  </w:t>
            </w:r>
            <w:r>
              <w:rPr>
                <w:sz w:val="20"/>
                <w:szCs w:val="20"/>
                <w:i/>
              </w:rPr>
              <w:t xml:space="preserve">ALK</w:t>
            </w:r>
            <w:r>
              <w:rPr>
                <w:sz w:val="20"/>
                <w:szCs w:val="20"/>
              </w:rPr>
              <w:t xml:space="preserve"> alterations have been identified most prominently in skin, liver, and prostate cancers with a lower incidence in other cancers, and a majority are missense substitutions (cBioPortal, COSMIC).</w:t>
            </w:r>
            <w:r w:rsidR="00AA16FB">
              <w:rPr>
                <w:sz w:val="20"/>
                <w:szCs w:val="20"/>
              </w:rPr>
              <w:t/>
            </w:r>
            <w:proofErr w:type="spellStart"/>
            <w:r>
              <w:rPr>
                <w:sz w:val="20"/>
                <w:szCs w:val="20"/>
              </w:rPr>
              <w:t/>
            </w:r>
            <w:proofErr w:type="spellEnd"/>
            <w:r>
              <w:rPr>
                <w:sz w:val="20"/>
                <w:szCs w:val="20"/>
              </w:rPr>
              <w:t/>
            </w:r>
            <w:r w:rsidR="00B230F5">
              <w:rPr>
                <w:sz w:val="20"/>
                <w:szCs w:val="20"/>
              </w:rPr>
              <w:t xml:space="preserve"> </w:t>
            </w:r>
          </w:p>
          <w:p w14:paraId="1A4907D0" w14:textId="77777777" w:rsidR="001C2499" w:rsidRDefault="009F5ACF" w:rsidP="001C2499">
            <w:pPr>
              <w:widowControl w:val="0"/>
              <w:rPr>
                <w:b/>
                <w:color w:val="262626" w:themeColor="text1" w:themeTint="D9"/>
                <w:sz w:val="20"/>
                <w:szCs w:val="20"/>
              </w:rPr>
            </w:pPr>
            <w:r>
              <w:rPr>
                <w:sz w:val="20"/>
                <w:szCs w:val="20"/>
              </w:rPr>
              <w:t/>
            </w:r>
            <w:r w:rsidR="005B6869">
              <w:rPr>
                <w:b/>
                <w:color w:val="262626" w:themeColor="text1" w:themeTint="D9"/>
                <w:sz w:val="20"/>
                <w:szCs w:val="20"/>
              </w:rPr>
              <w:t/>
            </w:r>
            <w:r w:rsidR="00C82850">
              <w:rPr>
                <w:b/>
                <w:color w:val="262626" w:themeColor="text1" w:themeTint="D9"/>
                <w:sz w:val="20"/>
                <w:szCs w:val="20"/>
              </w:rPr>
              <w:t/>
            </w:r>
            <w:r w:rsidR="005B6869">
              <w:rPr>
                <w:b/>
                <w:color w:val="262626" w:themeColor="text1" w:themeTint="D9"/>
                <w:sz w:val="20"/>
                <w:szCs w:val="20"/>
              </w:rPr>
              <w:t/>
            </w:r>
          </w:p>
          <w:p w14:paraId="77EF775B" w14:textId="3414BAA4" w:rsidR="00044A03" w:rsidRPr="001C2499" w:rsidRDefault="005B6869" w:rsidP="001C2499">
            <w:pPr>
              <w:widowControl w:val="0"/>
              <w:rPr>
                <w:sz w:val="20"/>
                <w:szCs w:val="20"/>
              </w:rPr>
            </w:pPr>
            <w:r>
              <w:rPr>
                <w:b/>
                <w:color w:val="262626" w:themeColor="text1" w:themeTint="D9"/>
                <w:sz w:val="20"/>
                <w:szCs w:val="20"/>
              </w:rPr>
              <w:t xml:space="preserve">ALK</w:t>
            </w:r>
            <w:r w:rsidR="00044A03">
              <w:rPr>
                <w:b/>
                <w:color w:val="262626" w:themeColor="text1" w:themeTint="D9"/>
                <w:sz w:val="20"/>
                <w:szCs w:val="20"/>
              </w:rPr>
              <w:t xml:space="preserve"> Outcomes &amp; Frequencies</w:t>
            </w:r>
            <w:r w:rsidR="00044A03" w:rsidRPr="002F70CC">
              <w:rPr>
                <w:b/>
                <w:color w:val="262626" w:themeColor="text1" w:themeTint="D9"/>
                <w:sz w:val="20"/>
                <w:szCs w:val="20"/>
              </w:rPr>
              <w:t xml:space="preserve">:</w:t>
            </w:r>
          </w:p>
          <w:p w14:paraId="6B1B0BEA" w14:textId="49823D62" w:rsidR="00044A03" w:rsidRPr="00533B57" w:rsidRDefault="005B6869" w:rsidP="00533B57">
            <w:pPr>
              <w:widowControl w:val="0"/>
              <w:rPr>
                <w:sz w:val="20"/>
                <w:szCs w:val="20"/>
              </w:rPr>
            </w:pPr>
            <w:r>
              <w:rPr>
                <w:sz w:val="20"/>
                <w:szCs w:val="20"/>
              </w:rPr>
              <w:t xml:space="preserve">Somatic alterations in </w:t>
            </w:r>
            <w:r>
              <w:rPr>
                <w:sz w:val="20"/>
                <w:szCs w:val="20"/>
                <w:i/>
              </w:rPr>
              <w:t xml:space="preserve">ALK</w:t>
            </w:r>
            <w:r>
              <w:rPr>
                <w:sz w:val="20"/>
                <w:szCs w:val="20"/>
              </w:rPr>
              <w:t xml:space="preserve"> include gene fusion, amplification, and ALK point mutations, and are detected in approximately 3.3% of all cancers, with a higher frequency in anaplastic large cell lymphoma, and cancers of the skin, endometrium, lung (specifically non-small cell), and colorectum, among others (cBioPortal, COSMIC, My Cancer Genome, PMID: 29488330, 32664698, 25415690, 29488330)).  </w:t>
            </w:r>
            <w:r>
              <w:rPr>
                <w:sz w:val="20"/>
                <w:szCs w:val="20"/>
                <w:i/>
              </w:rPr>
              <w:t xml:space="preserve">ALK</w:t>
            </w:r>
            <w:r>
              <w:rPr>
                <w:sz w:val="20"/>
                <w:szCs w:val="20"/>
              </w:rPr>
              <w:t xml:space="preserve"> gene fusions define a particular molecular subtype, and are the most common gene alterations in non-small cell lung cancer (NSCLC), having been identified in 3–7% of NSCLC cases (PMID: 27573755, 27386342, 29488330, 32664698).  A large proportion (90-95%) of </w:t>
            </w:r>
            <w:r>
              <w:rPr>
                <w:sz w:val="20"/>
                <w:szCs w:val="20"/>
                <w:i/>
              </w:rPr>
              <w:t xml:space="preserve">ALK</w:t>
            </w:r>
            <w:r>
              <w:rPr>
                <w:sz w:val="20"/>
                <w:szCs w:val="20"/>
              </w:rPr>
              <w:t xml:space="preserve"> gene fusions in NSCLC (so-called ALK-positive NSCLC) involve </w:t>
            </w:r>
            <w:r>
              <w:rPr>
                <w:sz w:val="20"/>
                <w:szCs w:val="20"/>
                <w:i/>
              </w:rPr>
              <w:t xml:space="preserve">ALK</w:t>
            </w:r>
            <w:r>
              <w:rPr>
                <w:sz w:val="20"/>
                <w:szCs w:val="20"/>
              </w:rPr>
              <w:t xml:space="preserve"> and the partner gene </w:t>
            </w:r>
            <w:r>
              <w:rPr>
                <w:sz w:val="20"/>
                <w:szCs w:val="20"/>
                <w:i/>
              </w:rPr>
              <w:t xml:space="preserve">EML4</w:t>
            </w:r>
            <w:r>
              <w:rPr>
                <w:sz w:val="20"/>
                <w:szCs w:val="20"/>
              </w:rPr>
              <w:t xml:space="preserve"> (PMID: 19667264, 23277484, 29363116, 34589917).  In addition, unproductive </w:t>
            </w:r>
            <w:r>
              <w:rPr>
                <w:sz w:val="20"/>
                <w:szCs w:val="20"/>
                <w:i/>
              </w:rPr>
              <w:t xml:space="preserve">ALK</w:t>
            </w:r>
            <w:r>
              <w:rPr>
                <w:sz w:val="20"/>
                <w:szCs w:val="20"/>
              </w:rPr>
              <w:t xml:space="preserve"> gene amplification and </w:t>
            </w:r>
            <w:r>
              <w:rPr>
                <w:sz w:val="20"/>
                <w:szCs w:val="20"/>
                <w:i/>
              </w:rPr>
              <w:t xml:space="preserve">ALK</w:t>
            </w:r>
            <w:r>
              <w:rPr>
                <w:sz w:val="20"/>
                <w:szCs w:val="20"/>
              </w:rPr>
              <w:t xml:space="preserve"> gene copy number gains have been noted in 2.9% and 2.4% of NSCLC patients, respectively (PMID: 32664698).  The various acquired ALK point mutations identified in NSCLC patients have been detected mainly after targeted therapy with ALK tyrosine kinase inhibitors (PMID: 21596819, 21847362, 27432227, 30006516). </w:t>
            </w:r>
            <w:r>
              <w:rPr>
                <w:sz w:val="20"/>
                <w:szCs w:val="20"/>
              </w:rPr>
              <w:t xml:space="preserve">Germline activating </w:t>
            </w:r>
            <w:r>
              <w:rPr>
                <w:sz w:val="20"/>
                <w:szCs w:val="20"/>
                <w:i/>
              </w:rPr>
              <w:t xml:space="preserve">ALK</w:t>
            </w:r>
            <w:r>
              <w:rPr>
                <w:sz w:val="20"/>
                <w:szCs w:val="20"/>
              </w:rPr>
              <w:t xml:space="preserve"> point mutations have been linked with disruption of central nervous system development, and mutations including p.R1275Q in the ALK kinase domain are associated with a predisposition to neuroblastoma (PMID: 21972109, 28674118). </w:t>
            </w:r>
            <w:r w:rsidR="00AA16FB">
              <w:rPr>
                <w:sz w:val="20"/>
                <w:szCs w:val="20"/>
              </w:rPr>
              <w:t/>
            </w:r>
            <w:proofErr w:type="spellStart"/>
            <w:r>
              <w:rPr>
                <w:sz w:val="20"/>
                <w:szCs w:val="20"/>
              </w:rPr>
              <w:t/>
            </w:r>
            <w:proofErr w:type="spellEnd"/>
            <w:r>
              <w:rPr>
                <w:sz w:val="20"/>
                <w:szCs w:val="20"/>
              </w:rPr>
              <w:t/>
            </w:r>
            <w:r w:rsidR="00F2169F">
              <w:rPr>
                <w:sz w:val="20"/>
                <w:szCs w:val="20"/>
              </w:rPr>
              <w:t/>
            </w:r>
            <w:bookmarkStart w:id="9" w:name="_Hlk115947662"/>
            <w:r w:rsidR="001C2499">
              <w:rPr>
                <w:b/>
                <w:color w:val="262626" w:themeColor="text1" w:themeTint="D9"/>
                <w:sz w:val="20"/>
                <w:szCs w:val="20"/>
              </w:rPr>
              <w:t/>
            </w:r>
            <w:r>
              <w:rPr>
                <w:b/>
                <w:color w:val="262626" w:themeColor="text1" w:themeTint="D9"/>
                <w:sz w:val="20"/>
                <w:szCs w:val="20"/>
              </w:rPr>
              <w:t/>
            </w:r>
            <w:bookmarkEnd w:id="9"/>
            <w:r>
              <w:rPr>
                <w:b/>
                <w:color w:val="262626" w:themeColor="text1" w:themeTint="D9"/>
                <w:sz w:val="20"/>
                <w:szCs w:val="20"/>
              </w:rPr>
              <w:t/>
            </w:r>
          </w:p>
          <w:p w14:paraId="27FD1B80" w14:textId="77777777" w:rsidR="001C2499" w:rsidRDefault="009F5ACF" w:rsidP="00BF5412">
            <w:pPr>
              <w:widowControl w:val="0"/>
              <w:rPr>
                <w:b/>
                <w:color w:val="262626" w:themeColor="text1" w:themeTint="D9"/>
                <w:sz w:val="20"/>
                <w:szCs w:val="20"/>
              </w:rPr>
            </w:pPr>
            <w:r>
              <w:rPr>
                <w:b/>
                <w:color w:val="262626" w:themeColor="text1" w:themeTint="D9"/>
                <w:sz w:val="20"/>
                <w:szCs w:val="20"/>
              </w:rPr>
              <w:t/>
            </w:r>
            <w:r w:rsidR="00C2188A">
              <w:rPr>
                <w:b/>
                <w:color w:val="262626" w:themeColor="text1" w:themeTint="D9"/>
                <w:sz w:val="20"/>
                <w:szCs w:val="20"/>
              </w:rPr>
              <w:t/>
            </w:r>
            <w:r w:rsidR="00AA71F3">
              <w:rPr>
                <w:b/>
                <w:color w:val="262626" w:themeColor="text1" w:themeTint="D9"/>
                <w:sz w:val="20"/>
                <w:szCs w:val="20"/>
              </w:rPr>
              <w:t/>
            </w:r>
            <w:r>
              <w:rPr>
                <w:b/>
                <w:color w:val="262626" w:themeColor="text1" w:themeTint="D9"/>
                <w:sz w:val="20"/>
                <w:szCs w:val="20"/>
              </w:rPr>
              <w:t/>
            </w:r>
          </w:p>
          <w:p w14:paraId="31772D6F" w14:textId="2842DBF5" w:rsidR="00044A03" w:rsidRDefault="009F5ACF" w:rsidP="00BF5412">
            <w:pPr>
              <w:widowControl w:val="0"/>
              <w:rPr>
                <w:b/>
                <w:color w:val="262626" w:themeColor="text1" w:themeTint="D9"/>
                <w:sz w:val="20"/>
                <w:szCs w:val="20"/>
              </w:rPr>
            </w:pPr>
            <w:r>
              <w:rPr>
                <w:b/>
                <w:color w:val="262626" w:themeColor="text1" w:themeTint="D9"/>
                <w:sz w:val="20"/>
                <w:szCs w:val="20"/>
              </w:rPr>
              <w:t xml:space="preserve">ROS1</w:t>
            </w:r>
            <w:r w:rsidR="00044A03">
              <w:rPr>
                <w:b/>
                <w:color w:val="262626" w:themeColor="text1" w:themeTint="D9"/>
                <w:sz w:val="20"/>
                <w:szCs w:val="20"/>
              </w:rPr>
              <w:t xml:space="preserve"> Gene Summary:</w:t>
            </w:r>
          </w:p>
          <w:p w14:paraId="3FE556BA" w14:textId="6AB081FE" w:rsidR="001C2499" w:rsidRDefault="009F5ACF" w:rsidP="001C2499">
            <w:pPr>
              <w:widowControl w:val="0"/>
              <w:rPr>
                <w:sz w:val="20"/>
                <w:szCs w:val="20"/>
              </w:rPr>
            </w:pPr>
            <w:r>
              <w:rPr>
                <w:sz w:val="20"/>
                <w:szCs w:val="20"/>
                <w:i/>
              </w:rPr>
              <w:t xml:space="preserve">ROS1</w:t>
            </w:r>
            <w:r>
              <w:rPr>
                <w:sz w:val="20"/>
                <w:szCs w:val="20"/>
              </w:rPr>
              <w:t xml:space="preserve"> (ROS proto-oncogene 1) encodes a receptor tyrosine kinase. However, very little is currently known about the normal function of wild-type (WT) ROS1 in humans (PMID: 23719267). </w:t>
            </w:r>
            <w:r>
              <w:rPr>
                <w:sz w:val="20"/>
                <w:szCs w:val="20"/>
                <w:i/>
              </w:rPr>
              <w:t xml:space="preserve">ROS1</w:t>
            </w:r>
            <w:r>
              <w:rPr>
                <w:sz w:val="20"/>
                <w:szCs w:val="20"/>
              </w:rPr>
              <w:t xml:space="preserve"> is best known for its role as a genetic rearrangement in several tumor types, especially non-small cell lung carcinoma (NSCLC) (PMID: 22327623). The resultant fusion protein is thought to drive cellular proliferation through a constitutively active ROS1 kinase domain (PMID: 23719267). Primary mutations in </w:t>
            </w:r>
            <w:r>
              <w:rPr>
                <w:sz w:val="20"/>
                <w:szCs w:val="20"/>
                <w:i/>
              </w:rPr>
              <w:t xml:space="preserve">ROS1</w:t>
            </w:r>
            <w:r>
              <w:rPr>
                <w:sz w:val="20"/>
                <w:szCs w:val="20"/>
              </w:rPr>
              <w:t xml:space="preserve"> however are rare, though secondary acquired point mutations in ROS1 kinase have been reported as a mechanism of resistance in tumors harboring a </w:t>
            </w:r>
            <w:r>
              <w:rPr>
                <w:sz w:val="20"/>
                <w:szCs w:val="20"/>
                <w:i/>
              </w:rPr>
              <w:t xml:space="preserve">ROS1</w:t>
            </w:r>
            <w:r>
              <w:rPr>
                <w:sz w:val="20"/>
                <w:szCs w:val="20"/>
              </w:rPr>
              <w:t xml:space="preserve"> rearrangement after treatment with targeted therapies (PMID: 25351743).</w:t>
            </w:r>
            <w:r w:rsidR="00AA16FB">
              <w:rPr>
                <w:sz w:val="20"/>
                <w:szCs w:val="20"/>
              </w:rPr>
              <w:t/>
            </w:r>
            <w:proofErr w:type="spellStart"/>
            <w:r>
              <w:rPr>
                <w:sz w:val="20"/>
                <w:szCs w:val="20"/>
              </w:rPr>
              <w:t/>
            </w:r>
            <w:proofErr w:type="spellEnd"/>
            <w:r>
              <w:rPr>
                <w:sz w:val="20"/>
                <w:szCs w:val="20"/>
              </w:rPr>
              <w:t/>
            </w:r>
            <w:r w:rsidR="00B230F5">
              <w:rPr>
                <w:sz w:val="20"/>
                <w:szCs w:val="20"/>
              </w:rPr>
              <w:t xml:space="preserve"> </w:t>
            </w:r>
          </w:p>
          <w:p w14:paraId="1A4907D0" w14:textId="77777777" w:rsidR="001C2499" w:rsidRDefault="009F5ACF" w:rsidP="001C2499">
            <w:pPr>
              <w:widowControl w:val="0"/>
              <w:rPr>
                <w:b/>
                <w:color w:val="262626" w:themeColor="text1" w:themeTint="D9"/>
                <w:sz w:val="20"/>
                <w:szCs w:val="20"/>
              </w:rPr>
            </w:pPr>
            <w:r>
              <w:rPr>
                <w:sz w:val="20"/>
                <w:szCs w:val="20"/>
              </w:rPr>
              <w:t/>
            </w:r>
            <w:r w:rsidR="005B6869">
              <w:rPr>
                <w:b/>
                <w:color w:val="262626" w:themeColor="text1" w:themeTint="D9"/>
                <w:sz w:val="20"/>
                <w:szCs w:val="20"/>
              </w:rPr>
              <w:t/>
            </w:r>
            <w:r w:rsidR="00C82850">
              <w:rPr>
                <w:b/>
                <w:color w:val="262626" w:themeColor="text1" w:themeTint="D9"/>
                <w:sz w:val="20"/>
                <w:szCs w:val="20"/>
              </w:rPr>
              <w:t/>
            </w:r>
            <w:r w:rsidR="005B6869">
              <w:rPr>
                <w:b/>
                <w:color w:val="262626" w:themeColor="text1" w:themeTint="D9"/>
                <w:sz w:val="20"/>
                <w:szCs w:val="20"/>
              </w:rPr>
              <w:t/>
            </w:r>
          </w:p>
          <w:p w14:paraId="77EF775B" w14:textId="3414BAA4" w:rsidR="00044A03" w:rsidRPr="001C2499" w:rsidRDefault="005B6869" w:rsidP="001C2499">
            <w:pPr>
              <w:widowControl w:val="0"/>
              <w:rPr>
                <w:sz w:val="20"/>
                <w:szCs w:val="20"/>
              </w:rPr>
            </w:pPr>
            <w:r>
              <w:rPr>
                <w:b/>
                <w:color w:val="262626" w:themeColor="text1" w:themeTint="D9"/>
                <w:sz w:val="20"/>
                <w:szCs w:val="20"/>
              </w:rPr>
              <w:t xml:space="preserve">ROS1</w:t>
            </w:r>
            <w:r w:rsidR="00044A03">
              <w:rPr>
                <w:b/>
                <w:color w:val="262626" w:themeColor="text1" w:themeTint="D9"/>
                <w:sz w:val="20"/>
                <w:szCs w:val="20"/>
              </w:rPr>
              <w:t xml:space="preserve"> Outcomes &amp; Frequencies</w:t>
            </w:r>
            <w:r w:rsidR="00044A03" w:rsidRPr="002F70CC">
              <w:rPr>
                <w:b/>
                <w:color w:val="262626" w:themeColor="text1" w:themeTint="D9"/>
                <w:sz w:val="20"/>
                <w:szCs w:val="20"/>
              </w:rPr>
              <w:t xml:space="preserve">:</w:t>
            </w:r>
          </w:p>
          <w:p w14:paraId="6B1B0BEA" w14:textId="49823D62" w:rsidR="00044A03" w:rsidRPr="00533B57" w:rsidRDefault="005B6869" w:rsidP="00533B57">
            <w:pPr>
              <w:widowControl w:val="0"/>
              <w:rPr>
                <w:sz w:val="20"/>
                <w:szCs w:val="20"/>
              </w:rPr>
            </w:pPr>
            <w:r>
              <w:rPr>
                <w:sz w:val="20"/>
                <w:szCs w:val="20"/>
                <w:i/>
              </w:rPr>
              <w:t xml:space="preserve">ROS1</w:t>
            </w:r>
            <w:r>
              <w:rPr>
                <w:sz w:val="20"/>
                <w:szCs w:val="20"/>
              </w:rPr>
              <w:t xml:space="preserve"> fusions with partner genes </w:t>
            </w:r>
            <w:r>
              <w:rPr>
                <w:sz w:val="20"/>
                <w:szCs w:val="20"/>
                <w:i/>
              </w:rPr>
              <w:t xml:space="preserve">CD74</w:t>
            </w:r>
            <w:r>
              <w:rPr>
                <w:sz w:val="20"/>
                <w:szCs w:val="20"/>
              </w:rPr>
              <w:t xml:space="preserve">, </w:t>
            </w:r>
            <w:r>
              <w:rPr>
                <w:sz w:val="20"/>
                <w:szCs w:val="20"/>
                <w:i/>
              </w:rPr>
              <w:t xml:space="preserve">SLC34A2</w:t>
            </w:r>
            <w:r>
              <w:rPr>
                <w:sz w:val="20"/>
                <w:szCs w:val="20"/>
              </w:rPr>
              <w:t xml:space="preserve">, </w:t>
            </w:r>
            <w:r>
              <w:rPr>
                <w:sz w:val="20"/>
                <w:szCs w:val="20"/>
                <w:i/>
              </w:rPr>
              <w:t xml:space="preserve">SDC4</w:t>
            </w:r>
            <w:r>
              <w:rPr>
                <w:sz w:val="20"/>
                <w:szCs w:val="20"/>
              </w:rPr>
              <w:t xml:space="preserve">, </w:t>
            </w:r>
            <w:r>
              <w:rPr>
                <w:sz w:val="20"/>
                <w:szCs w:val="20"/>
                <w:i/>
              </w:rPr>
              <w:t xml:space="preserve">ERZ</w:t>
            </w:r>
            <w:r>
              <w:rPr>
                <w:sz w:val="20"/>
                <w:szCs w:val="20"/>
              </w:rPr>
              <w:t xml:space="preserve">, </w:t>
            </w:r>
            <w:r>
              <w:rPr>
                <w:sz w:val="20"/>
                <w:szCs w:val="20"/>
                <w:i/>
              </w:rPr>
              <w:t xml:space="preserve">TPM3</w:t>
            </w:r>
            <w:r>
              <w:rPr>
                <w:sz w:val="20"/>
                <w:szCs w:val="20"/>
              </w:rPr>
              <w:t xml:space="preserve"> and others occur in about 1-2% of patients with  NSCLC, subtype lung adenocarcinoma and typically these patients are  young, female, and possess minimal or no previous history of smoking (PMID: 28881815, 25264305, 23788756, Ou S-HI and Nagasaka M. A Catalog of 5’ Fusion Partners in ROS1-Positive NSCLC Circa 2020. JTO Clin Res Rep 1:100048). Targeted therapy with ROS1 tyrosine kinase inhibitors (TKIs) provides deep and durable tumor responses (PMID: 32802958).</w:t>
            </w:r>
            <w:r w:rsidR="00AA16FB">
              <w:rPr>
                <w:sz w:val="20"/>
                <w:szCs w:val="20"/>
              </w:rPr>
              <w:t/>
            </w:r>
            <w:proofErr w:type="spellStart"/>
            <w:r>
              <w:rPr>
                <w:sz w:val="20"/>
                <w:szCs w:val="20"/>
              </w:rPr>
              <w:t/>
            </w:r>
            <w:proofErr w:type="spellEnd"/>
            <w:r>
              <w:rPr>
                <w:sz w:val="20"/>
                <w:szCs w:val="20"/>
              </w:rPr>
              <w:t/>
            </w:r>
            <w:r w:rsidR="00F2169F">
              <w:rPr>
                <w:sz w:val="20"/>
                <w:szCs w:val="20"/>
              </w:rPr>
              <w:t/>
            </w:r>
            <w:r w:rsidR="00AF596E">
              <w:rPr>
                <w:sz w:val="20"/>
                <w:szCs w:val="20"/>
              </w:rPr>
              <w:t xml:space="preserve"> </w:t>
            </w:r>
          </w:p>
        </w:tc>
      </w:tr>
    </w:tbl>
    <w:bookmarkEnd w:id="8"/>
    <w:p w14:paraId="7A72FB99" w14:textId="50447E4C" w:rsidR="002B103B" w:rsidRPr="003B4189" w:rsidRDefault="002B103B" w:rsidP="003B4189">
      <w:pPr>
        <w:spacing w:before="200" w:after="0"/>
        <w:rPr>
          <w:rFonts w:cstheme="minorHAnsi"/>
          <w:bCs/>
          <w:smallCaps/>
          <w:color w:val="0D0D0D" w:themeColor="text1" w:themeTint="F2"/>
          <w:spacing w:val="10"/>
          <w:sz w:val="16"/>
          <w:szCs w:val="16"/>
        </w:rPr>
      </w:pPr>
      <w:r w:rsidRPr="002B103B">
        <w:rPr>
          <w:rFonts w:cs="Calibri Light (Headings)"/>
          <w:bCs/>
          <w:smallCaps/>
          <w:color w:val="0D0D0D" w:themeColor="text1" w:themeTint="F2"/>
          <w:spacing w:val="10"/>
          <w:sz w:val="16"/>
          <w:szCs w:val="16"/>
        </w:rPr>
        <w:t/>
      </w:r>
      <w:r w:rsidR="003B4189" w:rsidRPr="004369D0">
        <w:rPr>
          <w:rFonts w:cstheme="minorHAnsi"/>
          <w:bCs/>
          <w:smallCaps/>
          <w:color w:val="0D0D0D" w:themeColor="text1" w:themeTint="F2"/>
          <w:spacing w:val="10"/>
          <w:sz w:val="16"/>
          <w:szCs w:val="16"/>
        </w:rPr>
        <w:t/>
      </w:r>
    </w:p>
    <w:p w14:paraId="70AE5754" w14:textId="6EAE08FE" w:rsidR="00511DAC" w:rsidRDefault="00511DAC" w:rsidP="00511DAC">
      <w:pPr>
        <w:spacing w:after="0" w:line="240" w:lineRule="auto"/>
        <w:rPr>
          <w:rFonts w:cs="Calibri Light (Headings)"/>
          <w:b/>
          <w:smallCaps/>
          <w:color w:val="0D0D0D" w:themeColor="text1" w:themeTint="F2"/>
          <w:spacing w:val="10"/>
          <w:sz w:val="28"/>
        </w:rPr>
      </w:pPr>
      <w:r>
        <w:rPr>
          <w:rFonts w:cs="Calibri Light (Headings)"/>
          <w:b/>
          <w:smallCaps/>
          <w:color w:val="0D0D0D" w:themeColor="text1" w:themeTint="F2"/>
          <w:spacing w:val="10"/>
          <w:sz w:val="28"/>
        </w:rPr>
        <w:lastRenderedPageBreak/>
        <w:t>Methods and Limitations</w:t>
      </w:r>
    </w:p>
    <w:p w14:paraId="6B5930F7" w14:textId="77777777" w:rsidR="00511DAC" w:rsidRPr="00B70918" w:rsidRDefault="00511DAC" w:rsidP="00511DAC">
      <w:pPr>
        <w:spacing w:before="200"/>
        <w:rPr>
          <w:b/>
          <w:bCs/>
          <w:color w:val="0D0D0D" w:themeColor="text1" w:themeTint="F2"/>
          <w:szCs w:val="20"/>
        </w:rPr>
      </w:pPr>
      <w:r w:rsidRPr="00B70918">
        <w:rPr>
          <w:b/>
          <w:bCs/>
          <w:color w:val="0D0D0D" w:themeColor="text1" w:themeTint="F2"/>
          <w:szCs w:val="20"/>
        </w:rPr>
        <w:t>METHODOLOGY</w:t>
      </w:r>
    </w:p>
    <w:p w14:paraId="57B872E2" w14:textId="77777777" w:rsidR="00511DAC" w:rsidRPr="00020186" w:rsidRDefault="00511DAC" w:rsidP="00511DAC">
      <w:pPr>
        <w:spacing w:before="200"/>
        <w:rPr>
          <w:color w:val="595959" w:themeColor="text1" w:themeTint="A6"/>
          <w:szCs w:val="20"/>
        </w:rPr>
      </w:pPr>
      <w:r w:rsidRPr="00B70918">
        <w:rPr>
          <w:color w:val="595959" w:themeColor="text1" w:themeTint="A6"/>
          <w:szCs w:val="20"/>
        </w:rPr>
        <w:t xml:space="preserve">The individual’s DNA was extracted and fragmented, with fragments from the coding regions of the select gene panel targeted for amplification and sequencing. Reads from the sequence output were aligned to the human reference genome (GRCh37) using the Burrows-Wheeler Aligner (BWA). Variants to the reference were called using the Genomic Analysis Tool Kit (GATK). The variants were annotated and filtered using the Golden Helix </w:t>
      </w:r>
      <w:proofErr w:type="spellStart"/>
      <w:r w:rsidRPr="00B70918">
        <w:rPr>
          <w:color w:val="595959" w:themeColor="text1" w:themeTint="A6"/>
          <w:szCs w:val="20"/>
        </w:rPr>
        <w:t>VarSeq</w:t>
      </w:r>
      <w:proofErr w:type="spellEnd"/>
      <w:r w:rsidRPr="00B70918">
        <w:rPr>
          <w:color w:val="595959" w:themeColor="text1" w:themeTint="A6"/>
          <w:szCs w:val="20"/>
        </w:rPr>
        <w:t xml:space="preserve"> analysis workflow implementing the ACMG guidelines for interpretation of sequence variants. This includes comparison against the </w:t>
      </w:r>
      <w:proofErr w:type="spellStart"/>
      <w:r w:rsidRPr="00B70918">
        <w:rPr>
          <w:color w:val="595959" w:themeColor="text1" w:themeTint="A6"/>
          <w:szCs w:val="20"/>
        </w:rPr>
        <w:t>gnomAD</w:t>
      </w:r>
      <w:proofErr w:type="spellEnd"/>
      <w:r w:rsidRPr="00B70918">
        <w:rPr>
          <w:color w:val="595959" w:themeColor="text1" w:themeTint="A6"/>
          <w:szCs w:val="20"/>
        </w:rPr>
        <w:t xml:space="preserve"> population catalog of variants in 123,136 exomes, the 1000 Genomes Project Consortium’s publication of 2,500 genomes, the NCBI </w:t>
      </w:r>
      <w:proofErr w:type="spellStart"/>
      <w:r w:rsidRPr="00B70918">
        <w:rPr>
          <w:color w:val="595959" w:themeColor="text1" w:themeTint="A6"/>
          <w:szCs w:val="20"/>
        </w:rPr>
        <w:t>ClinVar</w:t>
      </w:r>
      <w:proofErr w:type="spellEnd"/>
      <w:r w:rsidRPr="00B70918">
        <w:rPr>
          <w:color w:val="595959" w:themeColor="text1" w:themeTint="A6"/>
          <w:szCs w:val="20"/>
        </w:rPr>
        <w:t xml:space="preserve"> database of clinical assertions on variant’s pathogenicity and multiple lines of computational evidence on conservation and functional impact. This test has not been cleared or approved by the U.S. Food and Drug Administration (FDA). The FDA has determined that such clearance or approval is not necessary.</w:t>
      </w:r>
    </w:p>
    <w:p w14:paraId="5A1C2B61" w14:textId="77777777" w:rsidR="00511DAC" w:rsidRPr="00B70918" w:rsidRDefault="00511DAC" w:rsidP="00511DAC">
      <w:pPr>
        <w:spacing w:before="200"/>
        <w:rPr>
          <w:b/>
          <w:bCs/>
          <w:color w:val="0D0D0D" w:themeColor="text1" w:themeTint="F2"/>
          <w:szCs w:val="20"/>
        </w:rPr>
      </w:pPr>
      <w:r w:rsidRPr="00B70918">
        <w:rPr>
          <w:b/>
          <w:bCs/>
          <w:color w:val="0D0D0D" w:themeColor="text1" w:themeTint="F2"/>
          <w:szCs w:val="20"/>
        </w:rPr>
        <w:t>VARIANT ASSESSMENT PROCESS</w:t>
      </w:r>
    </w:p>
    <w:p w14:paraId="05B91BEE" w14:textId="67288141" w:rsidR="00511DAC" w:rsidRPr="00020186" w:rsidRDefault="00511DAC" w:rsidP="00511DAC">
      <w:pPr>
        <w:spacing w:before="200"/>
        <w:rPr>
          <w:color w:val="595959" w:themeColor="text1" w:themeTint="A6"/>
          <w:szCs w:val="20"/>
        </w:rPr>
      </w:pPr>
      <w:r w:rsidRPr="00B70918">
        <w:rPr>
          <w:color w:val="595959" w:themeColor="text1" w:themeTint="A6"/>
          <w:szCs w:val="20"/>
        </w:rPr>
        <w:t xml:space="preserve">The following databases and algorithms are used to annotate and evaluate the impact of the variant in the context of human disease: 1000 genomes, </w:t>
      </w:r>
      <w:proofErr w:type="spellStart"/>
      <w:r w:rsidRPr="00B70918">
        <w:rPr>
          <w:color w:val="595959" w:themeColor="text1" w:themeTint="A6"/>
          <w:szCs w:val="20"/>
        </w:rPr>
        <w:t>gnomAD</w:t>
      </w:r>
      <w:proofErr w:type="spellEnd"/>
      <w:r w:rsidRPr="00B70918">
        <w:rPr>
          <w:color w:val="595959" w:themeColor="text1" w:themeTint="A6"/>
          <w:szCs w:val="20"/>
        </w:rPr>
        <w:t xml:space="preserve">, </w:t>
      </w:r>
      <w:proofErr w:type="spellStart"/>
      <w:r w:rsidRPr="00B70918">
        <w:rPr>
          <w:color w:val="595959" w:themeColor="text1" w:themeTint="A6"/>
          <w:szCs w:val="20"/>
        </w:rPr>
        <w:t>ClinVar</w:t>
      </w:r>
      <w:proofErr w:type="spellEnd"/>
      <w:r w:rsidRPr="00B70918">
        <w:rPr>
          <w:color w:val="595959" w:themeColor="text1" w:themeTint="A6"/>
          <w:szCs w:val="20"/>
        </w:rPr>
        <w:t xml:space="preserve">, OMIM, </w:t>
      </w:r>
      <w:proofErr w:type="spellStart"/>
      <w:r w:rsidRPr="00B70918">
        <w:rPr>
          <w:color w:val="595959" w:themeColor="text1" w:themeTint="A6"/>
          <w:szCs w:val="20"/>
        </w:rPr>
        <w:t>dbSNP</w:t>
      </w:r>
      <w:proofErr w:type="spellEnd"/>
      <w:r w:rsidRPr="00B70918">
        <w:rPr>
          <w:color w:val="595959" w:themeColor="text1" w:themeTint="A6"/>
          <w:szCs w:val="20"/>
        </w:rPr>
        <w:t xml:space="preserve">, NCIB </w:t>
      </w:r>
      <w:proofErr w:type="spellStart"/>
      <w:r w:rsidRPr="00B70918">
        <w:rPr>
          <w:color w:val="595959" w:themeColor="text1" w:themeTint="A6"/>
          <w:szCs w:val="20"/>
        </w:rPr>
        <w:t>RefSeq</w:t>
      </w:r>
      <w:proofErr w:type="spellEnd"/>
      <w:r w:rsidRPr="00B70918">
        <w:rPr>
          <w:color w:val="595959" w:themeColor="text1" w:themeTint="A6"/>
          <w:szCs w:val="20"/>
        </w:rPr>
        <w:t xml:space="preserve"> Genes, </w:t>
      </w:r>
      <w:proofErr w:type="spellStart"/>
      <w:r w:rsidRPr="00B70918">
        <w:rPr>
          <w:color w:val="595959" w:themeColor="text1" w:themeTint="A6"/>
          <w:szCs w:val="20"/>
        </w:rPr>
        <w:t>ExAC</w:t>
      </w:r>
      <w:proofErr w:type="spellEnd"/>
      <w:r w:rsidRPr="00B70918">
        <w:rPr>
          <w:color w:val="595959" w:themeColor="text1" w:themeTint="A6"/>
          <w:szCs w:val="20"/>
        </w:rPr>
        <w:t xml:space="preserve"> Gene Constraints, VS-SIFT, VS-PolyPhen2, </w:t>
      </w:r>
      <w:proofErr w:type="spellStart"/>
      <w:r w:rsidRPr="00B70918">
        <w:rPr>
          <w:color w:val="595959" w:themeColor="text1" w:themeTint="A6"/>
          <w:szCs w:val="20"/>
        </w:rPr>
        <w:t>PhyloP</w:t>
      </w:r>
      <w:proofErr w:type="spellEnd"/>
      <w:r w:rsidRPr="00B70918">
        <w:rPr>
          <w:color w:val="595959" w:themeColor="text1" w:themeTint="A6"/>
          <w:szCs w:val="20"/>
        </w:rPr>
        <w:t xml:space="preserve">, GERP++, </w:t>
      </w:r>
      <w:proofErr w:type="spellStart"/>
      <w:r w:rsidRPr="00B70918">
        <w:rPr>
          <w:color w:val="595959" w:themeColor="text1" w:themeTint="A6"/>
          <w:szCs w:val="20"/>
        </w:rPr>
        <w:t>GeneSplicer</w:t>
      </w:r>
      <w:proofErr w:type="spellEnd"/>
      <w:r w:rsidRPr="00B70918">
        <w:rPr>
          <w:color w:val="595959" w:themeColor="text1" w:themeTint="A6"/>
          <w:szCs w:val="20"/>
        </w:rPr>
        <w:t xml:space="preserve">, </w:t>
      </w:r>
      <w:proofErr w:type="spellStart"/>
      <w:r w:rsidRPr="00B70918">
        <w:rPr>
          <w:color w:val="595959" w:themeColor="text1" w:themeTint="A6"/>
          <w:szCs w:val="20"/>
        </w:rPr>
        <w:t>MaxEntScan</w:t>
      </w:r>
      <w:proofErr w:type="spellEnd"/>
      <w:r w:rsidRPr="00B70918">
        <w:rPr>
          <w:color w:val="595959" w:themeColor="text1" w:themeTint="A6"/>
          <w:szCs w:val="20"/>
        </w:rPr>
        <w:t xml:space="preserve">, </w:t>
      </w:r>
      <w:proofErr w:type="spellStart"/>
      <w:r w:rsidRPr="00B70918">
        <w:rPr>
          <w:color w:val="595959" w:themeColor="text1" w:themeTint="A6"/>
          <w:szCs w:val="20"/>
        </w:rPr>
        <w:t>NNSplice</w:t>
      </w:r>
      <w:proofErr w:type="spellEnd"/>
      <w:r w:rsidRPr="00B70918">
        <w:rPr>
          <w:color w:val="595959" w:themeColor="text1" w:themeTint="A6"/>
          <w:szCs w:val="20"/>
        </w:rPr>
        <w:t>, PWM Splice Predictor. Analysis was reported using HGVS nomenclature (</w:t>
      </w:r>
      <w:hyperlink r:id="rId10" w:history="1">
        <w:r w:rsidRPr="00B70918">
          <w:rPr>
            <w:rStyle w:val="Hyperlink"/>
          </w:rPr>
          <w:t>www.hgvs.org/mutnomen</w:t>
        </w:r>
      </w:hyperlink>
      <w:r w:rsidRPr="00B70918">
        <w:rPr>
          <w:color w:val="595959" w:themeColor="text1" w:themeTint="A6"/>
          <w:szCs w:val="20"/>
        </w:rPr>
        <w:t xml:space="preserve">) as implemented by the </w:t>
      </w:r>
      <w:proofErr w:type="spellStart"/>
      <w:r w:rsidRPr="00B70918">
        <w:rPr>
          <w:color w:val="595959" w:themeColor="text1" w:themeTint="A6"/>
          <w:szCs w:val="20"/>
        </w:rPr>
        <w:t>VarSeq</w:t>
      </w:r>
      <w:proofErr w:type="spellEnd"/>
      <w:r w:rsidRPr="00B70918">
        <w:rPr>
          <w:color w:val="595959" w:themeColor="text1" w:themeTint="A6"/>
          <w:szCs w:val="20"/>
        </w:rPr>
        <w:t xml:space="preserve"> transcript annotation algorithm. The reported transcript matches that used most frequently by the clinical labs submitting to </w:t>
      </w:r>
      <w:proofErr w:type="spellStart"/>
      <w:r w:rsidRPr="00B70918">
        <w:rPr>
          <w:color w:val="595959" w:themeColor="text1" w:themeTint="A6"/>
          <w:szCs w:val="20"/>
        </w:rPr>
        <w:t>ClinVar</w:t>
      </w:r>
      <w:proofErr w:type="spellEnd"/>
      <w:r w:rsidRPr="00B70918">
        <w:rPr>
          <w:color w:val="595959" w:themeColor="text1" w:themeTint="A6"/>
          <w:szCs w:val="20"/>
        </w:rPr>
        <w:t>.</w:t>
      </w:r>
    </w:p>
    <w:p w14:paraId="29713E52" w14:textId="77777777" w:rsidR="00511DAC" w:rsidRPr="00B70918" w:rsidRDefault="00511DAC" w:rsidP="00511DAC">
      <w:pPr>
        <w:spacing w:before="200"/>
        <w:rPr>
          <w:b/>
          <w:bCs/>
          <w:color w:val="0D0D0D" w:themeColor="text1" w:themeTint="F2"/>
          <w:szCs w:val="20"/>
        </w:rPr>
      </w:pPr>
      <w:r w:rsidRPr="00B70918">
        <w:rPr>
          <w:b/>
          <w:bCs/>
          <w:color w:val="0D0D0D" w:themeColor="text1" w:themeTint="F2"/>
          <w:szCs w:val="20"/>
        </w:rPr>
        <w:t>LIMITATIONS</w:t>
      </w:r>
    </w:p>
    <w:p w14:paraId="7870A6DA" w14:textId="2607F351" w:rsidR="00511DAC" w:rsidRPr="00020186" w:rsidRDefault="00511DAC" w:rsidP="00511DAC">
      <w:pPr>
        <w:spacing w:before="200"/>
        <w:rPr>
          <w:color w:val="595959" w:themeColor="text1" w:themeTint="A6"/>
          <w:szCs w:val="20"/>
        </w:rPr>
      </w:pPr>
      <w:r w:rsidRPr="00B70918">
        <w:rPr>
          <w:color w:val="595959" w:themeColor="text1" w:themeTint="A6"/>
          <w:szCs w:val="20"/>
        </w:rPr>
        <w:t xml:space="preserve">It should be noted that this test is </w:t>
      </w:r>
      <w:r w:rsidR="00AF1476">
        <w:rPr>
          <w:color w:val="595959" w:themeColor="text1" w:themeTint="A6"/>
          <w:szCs w:val="20"/>
        </w:rPr>
        <w:t>restricted</w:t>
      </w:r>
      <w:r w:rsidRPr="00B70918">
        <w:rPr>
          <w:color w:val="595959" w:themeColor="text1" w:themeTint="A6"/>
          <w:szCs w:val="20"/>
        </w:rPr>
        <w:t xml:space="preserve"> to a limited number of genes and does not include all intronic and non-coding regions. This report only includes variants that </w:t>
      </w:r>
      <w:r w:rsidR="00AF1476">
        <w:rPr>
          <w:color w:val="595959" w:themeColor="text1" w:themeTint="A6"/>
          <w:szCs w:val="20"/>
        </w:rPr>
        <w:t>meet</w:t>
      </w:r>
      <w:r w:rsidRPr="00B70918">
        <w:rPr>
          <w:color w:val="595959" w:themeColor="text1" w:themeTint="A6"/>
          <w:szCs w:val="20"/>
        </w:rPr>
        <w:t xml:space="preserve"> a level of evidence threshold for cause or contribute to disease. Certain classes of genomic variants are also not covered using the NGS testing technology, including triplet repeat expansions, copy number alterations, translocations</w:t>
      </w:r>
      <w:r w:rsidR="00AF1476">
        <w:rPr>
          <w:color w:val="595959" w:themeColor="text1" w:themeTint="A6"/>
          <w:szCs w:val="20"/>
        </w:rPr>
        <w:t>,</w:t>
      </w:r>
      <w:r w:rsidRPr="00B70918">
        <w:rPr>
          <w:color w:val="595959" w:themeColor="text1" w:themeTint="A6"/>
          <w:szCs w:val="20"/>
        </w:rPr>
        <w:t xml:space="preserve"> gene fusions</w:t>
      </w:r>
      <w:r w:rsidR="00AF1476">
        <w:rPr>
          <w:color w:val="595959" w:themeColor="text1" w:themeTint="A6"/>
          <w:szCs w:val="20"/>
        </w:rPr>
        <w:t>,</w:t>
      </w:r>
      <w:r w:rsidRPr="00B70918">
        <w:rPr>
          <w:color w:val="595959" w:themeColor="text1" w:themeTint="A6"/>
          <w:szCs w:val="20"/>
        </w:rPr>
        <w:t xml:space="preserve"> or other complex structural rearrangements. More evidence for disease association of genes and causal pathogenic variants are discovered every year, and it is recommended that genetic variants are re-interpreted with updated software and annotations periodically.</w:t>
      </w:r>
    </w:p>
    <w:p w14:paraId="14BDFBF3" w14:textId="77777777" w:rsidR="00511DAC" w:rsidRPr="00B70918" w:rsidRDefault="00511DAC" w:rsidP="00511DAC">
      <w:pPr>
        <w:spacing w:before="200"/>
        <w:rPr>
          <w:b/>
          <w:bCs/>
          <w:color w:val="0D0D0D" w:themeColor="text1" w:themeTint="F2"/>
          <w:szCs w:val="20"/>
        </w:rPr>
      </w:pPr>
      <w:r>
        <w:rPr>
          <w:b/>
          <w:bCs/>
          <w:color w:val="0D0D0D" w:themeColor="text1" w:themeTint="F2"/>
          <w:szCs w:val="20"/>
        </w:rPr>
        <w:t xml:space="preserve">GENERAL </w:t>
      </w:r>
      <w:r w:rsidRPr="00B70918">
        <w:rPr>
          <w:b/>
          <w:bCs/>
          <w:color w:val="0D0D0D" w:themeColor="text1" w:themeTint="F2"/>
          <w:szCs w:val="20"/>
        </w:rPr>
        <w:t>REFERENCES</w:t>
      </w:r>
    </w:p>
    <w:p w14:paraId="2E461F7E" w14:textId="77777777" w:rsidR="00F83526" w:rsidRPr="00020186" w:rsidRDefault="00F83526" w:rsidP="00F83526">
      <w:pPr>
        <w:spacing w:before="200"/>
        <w:rPr>
          <w:color w:val="595959" w:themeColor="text1" w:themeTint="A6"/>
          <w:szCs w:val="20"/>
        </w:rPr>
      </w:pPr>
      <w:r w:rsidRPr="006E37F7">
        <w:rPr>
          <w:color w:val="595959" w:themeColor="text1" w:themeTint="A6"/>
          <w:szCs w:val="20"/>
        </w:rPr>
        <w:t xml:space="preserve">Li, Marilyn M., </w:t>
      </w:r>
      <w:r w:rsidRPr="006E37F7">
        <w:rPr>
          <w:i/>
          <w:iCs/>
          <w:color w:val="595959" w:themeColor="text1" w:themeTint="A6"/>
          <w:szCs w:val="20"/>
        </w:rPr>
        <w:t>et al.</w:t>
      </w:r>
      <w:r w:rsidRPr="006E37F7">
        <w:rPr>
          <w:color w:val="595959" w:themeColor="text1" w:themeTint="A6"/>
          <w:szCs w:val="20"/>
        </w:rPr>
        <w:t xml:space="preserve"> </w:t>
      </w:r>
      <w:r w:rsidRPr="00020186">
        <w:rPr>
          <w:color w:val="595959" w:themeColor="text1" w:themeTint="A6"/>
          <w:szCs w:val="20"/>
        </w:rPr>
        <w:t xml:space="preserve">"Standards and guidelines for the interpretation and reporting of sequence variants in cancer: a joint consensus recommendation of the Association for Molecular Pathology, American Society of Clinical Oncology, and College of American Pathologists." </w:t>
      </w:r>
      <w:r w:rsidRPr="0056552A">
        <w:rPr>
          <w:i/>
          <w:iCs/>
          <w:color w:val="595959" w:themeColor="text1" w:themeTint="A6"/>
          <w:szCs w:val="20"/>
        </w:rPr>
        <w:t xml:space="preserve">The Journal of </w:t>
      </w:r>
      <w:r>
        <w:rPr>
          <w:i/>
          <w:iCs/>
          <w:color w:val="595959" w:themeColor="text1" w:themeTint="A6"/>
          <w:szCs w:val="20"/>
        </w:rPr>
        <w:t>M</w:t>
      </w:r>
      <w:r w:rsidRPr="0056552A">
        <w:rPr>
          <w:i/>
          <w:iCs/>
          <w:color w:val="595959" w:themeColor="text1" w:themeTint="A6"/>
          <w:szCs w:val="20"/>
        </w:rPr>
        <w:t xml:space="preserve">olecular </w:t>
      </w:r>
      <w:r>
        <w:rPr>
          <w:i/>
          <w:iCs/>
          <w:color w:val="595959" w:themeColor="text1" w:themeTint="A6"/>
          <w:szCs w:val="20"/>
        </w:rPr>
        <w:t>D</w:t>
      </w:r>
      <w:r w:rsidRPr="0056552A">
        <w:rPr>
          <w:i/>
          <w:iCs/>
          <w:color w:val="595959" w:themeColor="text1" w:themeTint="A6"/>
          <w:szCs w:val="20"/>
        </w:rPr>
        <w:t>iagnostics</w:t>
      </w:r>
      <w:r w:rsidRPr="00020186">
        <w:rPr>
          <w:color w:val="595959" w:themeColor="text1" w:themeTint="A6"/>
          <w:szCs w:val="20"/>
        </w:rPr>
        <w:t xml:space="preserve"> </w:t>
      </w:r>
      <w:r>
        <w:rPr>
          <w:color w:val="595959" w:themeColor="text1" w:themeTint="A6"/>
          <w:szCs w:val="20"/>
        </w:rPr>
        <w:t xml:space="preserve">(2017) </w:t>
      </w:r>
      <w:r w:rsidRPr="00020186">
        <w:rPr>
          <w:color w:val="595959" w:themeColor="text1" w:themeTint="A6"/>
          <w:szCs w:val="20"/>
        </w:rPr>
        <w:t>19</w:t>
      </w:r>
      <w:r>
        <w:rPr>
          <w:color w:val="595959" w:themeColor="text1" w:themeTint="A6"/>
          <w:szCs w:val="20"/>
        </w:rPr>
        <w:t>(1)</w:t>
      </w:r>
      <w:r w:rsidRPr="00020186">
        <w:rPr>
          <w:color w:val="595959" w:themeColor="text1" w:themeTint="A6"/>
          <w:szCs w:val="20"/>
        </w:rPr>
        <w:t xml:space="preserve">: 4-23. </w:t>
      </w:r>
      <w:r>
        <w:rPr>
          <w:color w:val="595959" w:themeColor="text1" w:themeTint="A6"/>
          <w:szCs w:val="20"/>
        </w:rPr>
        <w:t xml:space="preserve">PMID: </w:t>
      </w:r>
      <w:r w:rsidRPr="008525FA">
        <w:rPr>
          <w:color w:val="595959" w:themeColor="text1" w:themeTint="A6"/>
          <w:szCs w:val="20"/>
        </w:rPr>
        <w:t>27993330</w:t>
      </w:r>
      <w:r>
        <w:rPr>
          <w:color w:val="595959" w:themeColor="text1" w:themeTint="A6"/>
          <w:szCs w:val="20"/>
        </w:rPr>
        <w:t>.</w:t>
      </w:r>
    </w:p>
    <w:p w14:paraId="5332DFBE" w14:textId="77777777" w:rsidR="00F83526" w:rsidRPr="00020186" w:rsidRDefault="00F83526" w:rsidP="00F83526">
      <w:pPr>
        <w:spacing w:before="200"/>
        <w:rPr>
          <w:color w:val="595959" w:themeColor="text1" w:themeTint="A6"/>
          <w:szCs w:val="20"/>
        </w:rPr>
      </w:pPr>
      <w:r w:rsidRPr="00B70918">
        <w:rPr>
          <w:color w:val="595959" w:themeColor="text1" w:themeTint="A6"/>
          <w:szCs w:val="20"/>
        </w:rPr>
        <w:t xml:space="preserve">Richards, Sue, </w:t>
      </w:r>
      <w:r w:rsidRPr="00CB3B05">
        <w:rPr>
          <w:i/>
          <w:iCs/>
          <w:color w:val="595959" w:themeColor="text1" w:themeTint="A6"/>
          <w:szCs w:val="20"/>
        </w:rPr>
        <w:t>et al.</w:t>
      </w:r>
      <w:r w:rsidRPr="00B70918">
        <w:rPr>
          <w:color w:val="595959" w:themeColor="text1" w:themeTint="A6"/>
          <w:szCs w:val="20"/>
        </w:rPr>
        <w:t xml:space="preserve"> "Standards and guidelines for the interpretation of sequence variants: a joint consensus recommendation of the American College of Medical Genetics and Genomics and the Association for Molecular Pathology." </w:t>
      </w:r>
      <w:r w:rsidRPr="0056552A">
        <w:rPr>
          <w:i/>
          <w:iCs/>
          <w:color w:val="595959" w:themeColor="text1" w:themeTint="A6"/>
          <w:szCs w:val="20"/>
        </w:rPr>
        <w:t xml:space="preserve">Genetics in </w:t>
      </w:r>
      <w:r>
        <w:rPr>
          <w:i/>
          <w:iCs/>
          <w:color w:val="595959" w:themeColor="text1" w:themeTint="A6"/>
          <w:szCs w:val="20"/>
        </w:rPr>
        <w:t>M</w:t>
      </w:r>
      <w:r w:rsidRPr="0056552A">
        <w:rPr>
          <w:i/>
          <w:iCs/>
          <w:color w:val="595959" w:themeColor="text1" w:themeTint="A6"/>
          <w:szCs w:val="20"/>
        </w:rPr>
        <w:t>edicine</w:t>
      </w:r>
      <w:r w:rsidRPr="00B70918">
        <w:rPr>
          <w:color w:val="595959" w:themeColor="text1" w:themeTint="A6"/>
          <w:szCs w:val="20"/>
        </w:rPr>
        <w:t xml:space="preserve"> </w:t>
      </w:r>
      <w:r>
        <w:rPr>
          <w:color w:val="595959" w:themeColor="text1" w:themeTint="A6"/>
          <w:szCs w:val="20"/>
        </w:rPr>
        <w:t xml:space="preserve">(2015) </w:t>
      </w:r>
      <w:r w:rsidRPr="00B70918">
        <w:rPr>
          <w:color w:val="595959" w:themeColor="text1" w:themeTint="A6"/>
          <w:szCs w:val="20"/>
        </w:rPr>
        <w:t>17</w:t>
      </w:r>
      <w:r>
        <w:rPr>
          <w:color w:val="595959" w:themeColor="text1" w:themeTint="A6"/>
          <w:szCs w:val="20"/>
        </w:rPr>
        <w:t>(</w:t>
      </w:r>
      <w:r w:rsidRPr="00B70918">
        <w:rPr>
          <w:color w:val="595959" w:themeColor="text1" w:themeTint="A6"/>
          <w:szCs w:val="20"/>
        </w:rPr>
        <w:t>5</w:t>
      </w:r>
      <w:r>
        <w:rPr>
          <w:color w:val="595959" w:themeColor="text1" w:themeTint="A6"/>
          <w:szCs w:val="20"/>
        </w:rPr>
        <w:t>)</w:t>
      </w:r>
      <w:r w:rsidRPr="00B70918">
        <w:rPr>
          <w:color w:val="595959" w:themeColor="text1" w:themeTint="A6"/>
          <w:szCs w:val="20"/>
        </w:rPr>
        <w:t>: 405.</w:t>
      </w:r>
      <w:r>
        <w:rPr>
          <w:color w:val="595959" w:themeColor="text1" w:themeTint="A6"/>
          <w:szCs w:val="20"/>
        </w:rPr>
        <w:t xml:space="preserve"> PMID: </w:t>
      </w:r>
      <w:r w:rsidRPr="00191012">
        <w:rPr>
          <w:color w:val="595959" w:themeColor="text1" w:themeTint="A6"/>
          <w:szCs w:val="20"/>
        </w:rPr>
        <w:t>25741868</w:t>
      </w:r>
      <w:r>
        <w:rPr>
          <w:color w:val="595959" w:themeColor="text1" w:themeTint="A6"/>
          <w:szCs w:val="20"/>
        </w:rPr>
        <w:t>.</w:t>
      </w:r>
    </w:p>
    <w:p w14:paraId="61BE53FD" w14:textId="77777777" w:rsidR="00F83526" w:rsidRPr="00B70918" w:rsidRDefault="00F83526" w:rsidP="00F83526">
      <w:pPr>
        <w:spacing w:before="200"/>
        <w:rPr>
          <w:color w:val="595959" w:themeColor="text1" w:themeTint="A6"/>
          <w:szCs w:val="20"/>
        </w:rPr>
      </w:pPr>
      <w:r w:rsidRPr="00276CFD">
        <w:rPr>
          <w:color w:val="595959" w:themeColor="text1" w:themeTint="A6"/>
          <w:szCs w:val="20"/>
        </w:rPr>
        <w:t xml:space="preserve">Forbes, Simon A., </w:t>
      </w:r>
      <w:r w:rsidRPr="00CB3B05">
        <w:rPr>
          <w:i/>
          <w:iCs/>
          <w:color w:val="595959" w:themeColor="text1" w:themeTint="A6"/>
          <w:szCs w:val="20"/>
        </w:rPr>
        <w:t>et al.</w:t>
      </w:r>
      <w:r w:rsidRPr="00276CFD">
        <w:rPr>
          <w:color w:val="595959" w:themeColor="text1" w:themeTint="A6"/>
          <w:szCs w:val="20"/>
        </w:rPr>
        <w:t xml:space="preserve"> </w:t>
      </w:r>
      <w:r w:rsidRPr="00020186">
        <w:rPr>
          <w:color w:val="595959" w:themeColor="text1" w:themeTint="A6"/>
          <w:szCs w:val="20"/>
        </w:rPr>
        <w:t xml:space="preserve">"COSMIC: somatic cancer genetics at high-resolution." </w:t>
      </w:r>
      <w:r w:rsidRPr="0056552A">
        <w:rPr>
          <w:i/>
          <w:iCs/>
          <w:color w:val="595959" w:themeColor="text1" w:themeTint="A6"/>
          <w:szCs w:val="20"/>
        </w:rPr>
        <w:t xml:space="preserve">Nucleic </w:t>
      </w:r>
      <w:r>
        <w:rPr>
          <w:i/>
          <w:iCs/>
          <w:color w:val="595959" w:themeColor="text1" w:themeTint="A6"/>
          <w:szCs w:val="20"/>
        </w:rPr>
        <w:t>A</w:t>
      </w:r>
      <w:r w:rsidRPr="0056552A">
        <w:rPr>
          <w:i/>
          <w:iCs/>
          <w:color w:val="595959" w:themeColor="text1" w:themeTint="A6"/>
          <w:szCs w:val="20"/>
        </w:rPr>
        <w:t xml:space="preserve">cids </w:t>
      </w:r>
      <w:r>
        <w:rPr>
          <w:i/>
          <w:iCs/>
          <w:color w:val="595959" w:themeColor="text1" w:themeTint="A6"/>
          <w:szCs w:val="20"/>
        </w:rPr>
        <w:t>R</w:t>
      </w:r>
      <w:r w:rsidRPr="0056552A">
        <w:rPr>
          <w:i/>
          <w:iCs/>
          <w:color w:val="595959" w:themeColor="text1" w:themeTint="A6"/>
          <w:szCs w:val="20"/>
        </w:rPr>
        <w:t>esearch</w:t>
      </w:r>
      <w:r w:rsidRPr="00020186">
        <w:rPr>
          <w:color w:val="595959" w:themeColor="text1" w:themeTint="A6"/>
          <w:szCs w:val="20"/>
        </w:rPr>
        <w:t xml:space="preserve"> </w:t>
      </w:r>
      <w:r>
        <w:rPr>
          <w:color w:val="595959" w:themeColor="text1" w:themeTint="A6"/>
          <w:szCs w:val="20"/>
        </w:rPr>
        <w:t xml:space="preserve">(2016) </w:t>
      </w:r>
      <w:r w:rsidRPr="00020186">
        <w:rPr>
          <w:color w:val="595959" w:themeColor="text1" w:themeTint="A6"/>
          <w:szCs w:val="20"/>
        </w:rPr>
        <w:t>45</w:t>
      </w:r>
      <w:r>
        <w:rPr>
          <w:color w:val="595959" w:themeColor="text1" w:themeTint="A6"/>
          <w:szCs w:val="20"/>
        </w:rPr>
        <w:t>(</w:t>
      </w:r>
      <w:r w:rsidRPr="00020186">
        <w:rPr>
          <w:color w:val="595959" w:themeColor="text1" w:themeTint="A6"/>
          <w:szCs w:val="20"/>
        </w:rPr>
        <w:t>D1</w:t>
      </w:r>
      <w:r>
        <w:rPr>
          <w:color w:val="595959" w:themeColor="text1" w:themeTint="A6"/>
          <w:szCs w:val="20"/>
        </w:rPr>
        <w:t>)</w:t>
      </w:r>
      <w:r w:rsidRPr="00020186">
        <w:rPr>
          <w:color w:val="595959" w:themeColor="text1" w:themeTint="A6"/>
          <w:szCs w:val="20"/>
        </w:rPr>
        <w:t>: D777-D783.</w:t>
      </w:r>
      <w:r>
        <w:rPr>
          <w:color w:val="595959" w:themeColor="text1" w:themeTint="A6"/>
          <w:szCs w:val="20"/>
        </w:rPr>
        <w:t xml:space="preserve"> PMID: </w:t>
      </w:r>
      <w:r w:rsidRPr="00191012">
        <w:rPr>
          <w:color w:val="595959" w:themeColor="text1" w:themeTint="A6"/>
          <w:szCs w:val="20"/>
        </w:rPr>
        <w:t>27899578</w:t>
      </w:r>
      <w:r>
        <w:rPr>
          <w:color w:val="595959" w:themeColor="text1" w:themeTint="A6"/>
          <w:szCs w:val="20"/>
        </w:rPr>
        <w:t>.</w:t>
      </w:r>
    </w:p>
    <w:p w14:paraId="5DA8F430" w14:textId="77777777" w:rsidR="00F83526" w:rsidRPr="00B70918" w:rsidRDefault="00F83526" w:rsidP="00F83526">
      <w:pPr>
        <w:spacing w:before="200"/>
        <w:rPr>
          <w:color w:val="595959" w:themeColor="text1" w:themeTint="A6"/>
          <w:szCs w:val="20"/>
        </w:rPr>
      </w:pPr>
      <w:r w:rsidRPr="00687F65">
        <w:rPr>
          <w:color w:val="595959" w:themeColor="text1" w:themeTint="A6"/>
          <w:szCs w:val="20"/>
        </w:rPr>
        <w:t xml:space="preserve">Exome Aggregation Consortium </w:t>
      </w:r>
      <w:r w:rsidRPr="00CB3B05">
        <w:rPr>
          <w:i/>
          <w:iCs/>
          <w:color w:val="595959" w:themeColor="text1" w:themeTint="A6"/>
          <w:szCs w:val="20"/>
        </w:rPr>
        <w:t>et al.</w:t>
      </w:r>
      <w:r w:rsidRPr="00687F65">
        <w:rPr>
          <w:color w:val="595959" w:themeColor="text1" w:themeTint="A6"/>
          <w:szCs w:val="20"/>
        </w:rPr>
        <w:t xml:space="preserve"> </w:t>
      </w:r>
      <w:r w:rsidRPr="00B70918">
        <w:rPr>
          <w:color w:val="595959" w:themeColor="text1" w:themeTint="A6"/>
          <w:szCs w:val="20"/>
        </w:rPr>
        <w:t xml:space="preserve">“Analysis of Protein-Coding Genetic Variation in 60,706 Humans.” </w:t>
      </w:r>
      <w:r w:rsidRPr="0056552A">
        <w:rPr>
          <w:i/>
          <w:iCs/>
          <w:color w:val="595959" w:themeColor="text1" w:themeTint="A6"/>
          <w:szCs w:val="20"/>
        </w:rPr>
        <w:t>Nature</w:t>
      </w:r>
      <w:r w:rsidRPr="00B70918">
        <w:rPr>
          <w:color w:val="595959" w:themeColor="text1" w:themeTint="A6"/>
          <w:szCs w:val="20"/>
        </w:rPr>
        <w:t xml:space="preserve"> </w:t>
      </w:r>
      <w:r>
        <w:rPr>
          <w:color w:val="595959" w:themeColor="text1" w:themeTint="A6"/>
          <w:szCs w:val="20"/>
        </w:rPr>
        <w:t xml:space="preserve">(2016) </w:t>
      </w:r>
      <w:r w:rsidRPr="00B70918">
        <w:rPr>
          <w:color w:val="595959" w:themeColor="text1" w:themeTint="A6"/>
          <w:szCs w:val="20"/>
        </w:rPr>
        <w:t>536</w:t>
      </w:r>
      <w:r>
        <w:rPr>
          <w:color w:val="595959" w:themeColor="text1" w:themeTint="A6"/>
          <w:szCs w:val="20"/>
        </w:rPr>
        <w:t>(</w:t>
      </w:r>
      <w:r w:rsidRPr="00B70918">
        <w:rPr>
          <w:color w:val="595959" w:themeColor="text1" w:themeTint="A6"/>
          <w:szCs w:val="20"/>
        </w:rPr>
        <w:t>7616</w:t>
      </w:r>
      <w:r>
        <w:rPr>
          <w:color w:val="595959" w:themeColor="text1" w:themeTint="A6"/>
          <w:szCs w:val="20"/>
        </w:rPr>
        <w:t>)</w:t>
      </w:r>
      <w:r w:rsidRPr="00B70918">
        <w:rPr>
          <w:color w:val="595959" w:themeColor="text1" w:themeTint="A6"/>
          <w:szCs w:val="20"/>
        </w:rPr>
        <w:t>: 285–291.</w:t>
      </w:r>
      <w:r>
        <w:rPr>
          <w:color w:val="595959" w:themeColor="text1" w:themeTint="A6"/>
          <w:szCs w:val="20"/>
        </w:rPr>
        <w:t xml:space="preserve"> PMID: </w:t>
      </w:r>
      <w:r w:rsidRPr="003C0523">
        <w:rPr>
          <w:color w:val="595959" w:themeColor="text1" w:themeTint="A6"/>
          <w:szCs w:val="20"/>
        </w:rPr>
        <w:t>27535533</w:t>
      </w:r>
      <w:r>
        <w:rPr>
          <w:color w:val="595959" w:themeColor="text1" w:themeTint="A6"/>
          <w:szCs w:val="20"/>
        </w:rPr>
        <w:t>.</w:t>
      </w:r>
    </w:p>
    <w:p w14:paraId="35ACC921" w14:textId="77777777" w:rsidR="00F83526" w:rsidRDefault="00F83526" w:rsidP="00F83526">
      <w:pPr>
        <w:spacing w:before="200"/>
        <w:rPr>
          <w:color w:val="595959" w:themeColor="text1" w:themeTint="A6"/>
          <w:szCs w:val="20"/>
        </w:rPr>
      </w:pPr>
      <w:r w:rsidRPr="00B70918">
        <w:rPr>
          <w:color w:val="595959" w:themeColor="text1" w:themeTint="A6"/>
          <w:szCs w:val="20"/>
        </w:rPr>
        <w:lastRenderedPageBreak/>
        <w:t xml:space="preserve">The 1000 Genomes Project Consortium. “A Global Reference for Human Genetic Variation.” </w:t>
      </w:r>
      <w:r w:rsidRPr="0056552A">
        <w:rPr>
          <w:i/>
          <w:iCs/>
          <w:color w:val="595959" w:themeColor="text1" w:themeTint="A6"/>
          <w:szCs w:val="20"/>
        </w:rPr>
        <w:t>Nature</w:t>
      </w:r>
      <w:r w:rsidRPr="00B70918">
        <w:rPr>
          <w:color w:val="595959" w:themeColor="text1" w:themeTint="A6"/>
          <w:szCs w:val="20"/>
        </w:rPr>
        <w:t xml:space="preserve"> </w:t>
      </w:r>
      <w:r>
        <w:rPr>
          <w:color w:val="595959" w:themeColor="text1" w:themeTint="A6"/>
          <w:szCs w:val="20"/>
        </w:rPr>
        <w:t xml:space="preserve">(2015) </w:t>
      </w:r>
      <w:r w:rsidRPr="00B70918">
        <w:rPr>
          <w:color w:val="595959" w:themeColor="text1" w:themeTint="A6"/>
          <w:szCs w:val="20"/>
        </w:rPr>
        <w:t>526</w:t>
      </w:r>
      <w:r>
        <w:rPr>
          <w:color w:val="595959" w:themeColor="text1" w:themeTint="A6"/>
          <w:szCs w:val="20"/>
        </w:rPr>
        <w:t>(</w:t>
      </w:r>
      <w:r w:rsidRPr="00B70918">
        <w:rPr>
          <w:color w:val="595959" w:themeColor="text1" w:themeTint="A6"/>
          <w:szCs w:val="20"/>
        </w:rPr>
        <w:t>7571</w:t>
      </w:r>
      <w:r>
        <w:rPr>
          <w:color w:val="595959" w:themeColor="text1" w:themeTint="A6"/>
          <w:szCs w:val="20"/>
        </w:rPr>
        <w:t>)</w:t>
      </w:r>
      <w:r w:rsidRPr="00B70918">
        <w:rPr>
          <w:color w:val="595959" w:themeColor="text1" w:themeTint="A6"/>
          <w:szCs w:val="20"/>
        </w:rPr>
        <w:t>: 68–74.</w:t>
      </w:r>
      <w:r>
        <w:rPr>
          <w:color w:val="595959" w:themeColor="text1" w:themeTint="A6"/>
          <w:szCs w:val="20"/>
        </w:rPr>
        <w:t xml:space="preserve"> PMID: </w:t>
      </w:r>
      <w:r w:rsidRPr="009E286E">
        <w:rPr>
          <w:color w:val="595959" w:themeColor="text1" w:themeTint="A6"/>
          <w:szCs w:val="20"/>
        </w:rPr>
        <w:t>26432245</w:t>
      </w:r>
      <w:r>
        <w:rPr>
          <w:color w:val="595959" w:themeColor="text1" w:themeTint="A6"/>
          <w:szCs w:val="20"/>
        </w:rPr>
        <w:t>.</w:t>
      </w:r>
    </w:p>
    <w:p w14:paraId="7A311FD2" w14:textId="77777777" w:rsidR="004474DC" w:rsidRPr="00F738DD" w:rsidRDefault="004474DC" w:rsidP="004474DC">
      <w:pPr>
        <w:spacing w:before="200"/>
        <w:rPr>
          <w:b/>
          <w:bCs/>
          <w:color w:val="0D0D0D" w:themeColor="text1" w:themeTint="F2"/>
          <w:szCs w:val="20"/>
        </w:rPr>
      </w:pPr>
      <w:r>
        <w:rPr>
          <w:b/>
          <w:bCs/>
          <w:color w:val="0D0D0D" w:themeColor="text1" w:themeTint="F2"/>
          <w:szCs w:val="20"/>
        </w:rPr>
        <w:t xml:space="preserve">INLINE REFERENCES BY PUBMED</w:t>
      </w:r>
    </w:p>
    <w:tbl>
      <w:tblPr>
        <w:tblStyle w:val="ListTable6Colorful-Accent3"/>
        <w:tblW w:w="10890" w:type="dxa"/>
        <w:tblLook w:val="04A0" w:firstRow="1" w:lastRow="0" w:firstColumn="1" w:lastColumn="0" w:noHBand="0" w:noVBand="1"/>
      </w:tblPr>
      <w:tblGrid>
        <w:gridCol w:w="3190"/>
        <w:gridCol w:w="7700"/>
      </w:tblGrid>
      <w:tr w:rsidR="004474DC" w:rsidRPr="00D7205E" w14:paraId="23863156" w14:textId="77777777" w:rsidTr="00545CC8">
        <w:trPr>
          <w:cnfStyle w:val="100000000000" w:firstRow="1" w:lastRow="0" w:firstColumn="0" w:lastColumn="0" w:oddVBand="0" w:evenVBand="0" w:oddHBand="0" w:evenHBand="0" w:firstRowFirstColumn="0" w:firstRowLastColumn="0" w:lastRowFirstColumn="0" w:lastRowLastColumn="0"/>
          <w:cantSplit/>
          <w:trHeight w:val="239"/>
          <w:tblHeader/>
        </w:trPr>
        <w:tc>
          <w:tcPr>
            <w:cnfStyle w:val="001000000000" w:firstRow="0" w:lastRow="0" w:firstColumn="1" w:lastColumn="0" w:oddVBand="0" w:evenVBand="0" w:oddHBand="0" w:evenHBand="0" w:firstRowFirstColumn="0" w:firstRowLastColumn="0" w:lastRowFirstColumn="0" w:lastRowLastColumn="0"/>
            <w:tcW w:w="2340" w:type="dxa"/>
            <w:vAlign w:val="bottom"/>
          </w:tcPr>
          <w:p w14:paraId="499EA922" w14:textId="77777777" w:rsidR="004474DC" w:rsidRPr="00D7205E" w:rsidRDefault="004474DC" w:rsidP="00545CC8">
            <w:pPr>
              <w:rPr>
                <w:rFonts w:cstheme="minorHAnsi"/>
                <w:color w:val="0D0D0D" w:themeColor="text1" w:themeTint="F2"/>
                <w:sz w:val="20"/>
                <w:szCs w:val="20"/>
              </w:rPr>
            </w:pPr>
            <w:r>
              <w:rPr>
                <w:rFonts w:cstheme="minorHAnsi"/>
                <w:smallCaps/>
                <w:color w:val="0D0D0D" w:themeColor="text1" w:themeTint="F2"/>
              </w:rPr>
              <w:t xml:space="preserve">PMID</w:t>
            </w:r>
          </w:p>
        </w:tc>
        <w:tc>
          <w:tcPr>
            <w:tcW w:w="8550" w:type="dxa"/>
            <w:vAlign w:val="bottom"/>
          </w:tcPr>
          <w:p w14:paraId="66CB6247" w14:textId="77777777" w:rsidR="004474DC" w:rsidRPr="00D7205E" w:rsidRDefault="004474DC" w:rsidP="00545CC8">
            <w:pPr>
              <w:cnfStyle w:val="100000000000" w:firstRow="1" w:lastRow="0" w:firstColumn="0" w:lastColumn="0" w:oddVBand="0" w:evenVBand="0" w:oddHBand="0" w:evenHBand="0" w:firstRowFirstColumn="0" w:firstRowLastColumn="0" w:lastRowFirstColumn="0" w:lastRowLastColumn="0"/>
              <w:rPr>
                <w:rFonts w:cstheme="minorHAnsi"/>
                <w:color w:val="0D0D0D" w:themeColor="text1" w:themeTint="F2"/>
                <w:sz w:val="20"/>
                <w:szCs w:val="20"/>
              </w:rPr>
            </w:pPr>
            <w:r>
              <w:rPr>
                <w:rFonts w:cstheme="minorHAnsi"/>
                <w:smallCaps/>
                <w:color w:val="0D0D0D" w:themeColor="text1" w:themeTint="F2"/>
              </w:rPr>
              <w:t xml:space="preserve">Citation</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5">
              <w:r>
                <w:rPr>
                  <w:sz w:val="20"/>
                  <w:rStyle w:val="Hyperlink"/>
                </w:rPr>
                <w:t xml:space="preserve">27979383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versus docetaxel in patients with previously treated non-small-cell lung cancer (OAK): a phase 3, open-label, multicentre randomised controlled trial.</w:t>
            </w:r>
            <w:r>
              <w:rPr>
                <w:color w:val="404040" w:themeColor="text1" w:themeTint="BF"/>
                <w:sz w:val="20"/>
                <w:szCs w:val="20"/>
              </w:rPr>
              <w:t xml:space="preserve"> </w:t>
            </w:r>
            <w:r w:rsidRPr="00D90DD4">
              <w:rPr>
                <w:i/>
                <w:color w:val="767171" w:themeColor="background2" w:themeShade="80"/>
                <w:sz w:val="20"/>
                <w:szCs w:val="20"/>
              </w:rPr>
              <w:t xml:space="preserve">Rittmeyer A et al., Lancet. 2017 Jan 21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6">
              <w:r>
                <w:rPr>
                  <w:sz w:val="20"/>
                  <w:rStyle w:val="Hyperlink"/>
                </w:rPr>
                <w:t xml:space="preserve">28885881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after Chemoradiotherapy in Stage III Non-Small-Cell Lung Cancer.</w:t>
            </w:r>
            <w:r>
              <w:rPr>
                <w:color w:val="404040" w:themeColor="text1" w:themeTint="BF"/>
                <w:sz w:val="20"/>
                <w:szCs w:val="20"/>
              </w:rPr>
              <w:t xml:space="preserve"> </w:t>
            </w:r>
            <w:r w:rsidRPr="00D90DD4">
              <w:rPr>
                <w:i/>
                <w:color w:val="767171" w:themeColor="background2" w:themeShade="80"/>
                <w:sz w:val="20"/>
                <w:szCs w:val="20"/>
              </w:rPr>
              <w:t xml:space="preserve">Antonia SJ et al., N Engl J Med. 2017 Nov 16</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7">
              <w:r>
                <w:rPr>
                  <w:sz w:val="20"/>
                  <w:rStyle w:val="Hyperlink"/>
                </w:rPr>
                <w:t xml:space="preserve">30280658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with Durvalumab after Chemoradiotherapy in Stage III NSCLC.</w:t>
            </w:r>
            <w:r>
              <w:rPr>
                <w:color w:val="404040" w:themeColor="text1" w:themeTint="BF"/>
                <w:sz w:val="20"/>
                <w:szCs w:val="20"/>
              </w:rPr>
              <w:t xml:space="preserve"> </w:t>
            </w:r>
            <w:r w:rsidRPr="00D90DD4">
              <w:rPr>
                <w:i/>
                <w:color w:val="767171" w:themeColor="background2" w:themeShade="80"/>
                <w:sz w:val="20"/>
                <w:szCs w:val="20"/>
              </w:rPr>
              <w:t xml:space="preserve">Antonia SJ et al., N Engl J Med. 2018 Dec 13</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8">
              <w:r>
                <w:rPr>
                  <w:sz w:val="20"/>
                  <w:rStyle w:val="Hyperlink"/>
                </w:rPr>
                <w:t xml:space="preserve">32209338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Outcomes with durvalumab by tumour PD-L1 expression in unresectable, stage III non-small-cell lung cancer in the PACIFIC trial.</w:t>
            </w:r>
            <w:r>
              <w:rPr>
                <w:color w:val="404040" w:themeColor="text1" w:themeTint="BF"/>
                <w:sz w:val="20"/>
                <w:szCs w:val="20"/>
              </w:rPr>
              <w:t xml:space="preserve"> </w:t>
            </w:r>
            <w:r w:rsidRPr="00D90DD4">
              <w:rPr>
                <w:i/>
                <w:color w:val="767171" w:themeColor="background2" w:themeShade="80"/>
                <w:sz w:val="20"/>
                <w:szCs w:val="20"/>
              </w:rPr>
              <w:t xml:space="preserve">Paz-Ares L et al., Ann Oncol. 2020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9">
              <w:r>
                <w:rPr>
                  <w:sz w:val="20"/>
                  <w:rStyle w:val="Hyperlink"/>
                </w:rPr>
                <w:t xml:space="preserve">33583206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outcomes with durvalumab by PD-L1 expression and prior chemoradiotherapy-related variables in unresectable stage III non-small-cell lung cancer.</w:t>
            </w:r>
            <w:r>
              <w:rPr>
                <w:color w:val="404040" w:themeColor="text1" w:themeTint="BF"/>
                <w:sz w:val="20"/>
                <w:szCs w:val="20"/>
              </w:rPr>
              <w:t xml:space="preserve"> </w:t>
            </w:r>
            <w:r w:rsidRPr="00D90DD4">
              <w:rPr>
                <w:i/>
                <w:color w:val="767171" w:themeColor="background2" w:themeShade="80"/>
                <w:sz w:val="20"/>
                <w:szCs w:val="20"/>
              </w:rPr>
              <w:t xml:space="preserve">Garassino MC et al., Future Oncol. 2021 Apr</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0">
              <w:r>
                <w:rPr>
                  <w:sz w:val="20"/>
                  <w:rStyle w:val="Hyperlink"/>
                </w:rPr>
                <w:t xml:space="preserve">34731446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Durvalumab: A Review in Extensive-Stage SCLC.</w:t>
            </w:r>
            <w:r>
              <w:rPr>
                <w:color w:val="404040" w:themeColor="text1" w:themeTint="BF"/>
                <w:sz w:val="20"/>
                <w:szCs w:val="20"/>
              </w:rPr>
              <w:t xml:space="preserve"> </w:t>
            </w:r>
            <w:r w:rsidRPr="00D90DD4">
              <w:rPr>
                <w:i/>
                <w:color w:val="767171" w:themeColor="background2" w:themeShade="80"/>
                <w:sz w:val="20"/>
                <w:szCs w:val="20"/>
              </w:rPr>
              <w:t xml:space="preserve">Al-Salama ZT, Target Oncol. 2021 Nov</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1">
              <w:r>
                <w:rPr>
                  <w:sz w:val="20"/>
                  <w:rStyle w:val="Hyperlink"/>
                </w:rPr>
                <w:t xml:space="preserve">35403841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Neoadjuvant Nivolumab plus Chemotherapy in Resectable Lung Cancer.</w:t>
            </w:r>
            <w:r>
              <w:rPr>
                <w:color w:val="404040" w:themeColor="text1" w:themeTint="BF"/>
                <w:sz w:val="20"/>
                <w:szCs w:val="20"/>
              </w:rPr>
              <w:t xml:space="preserve"> </w:t>
            </w:r>
            <w:r w:rsidRPr="00D90DD4">
              <w:rPr>
                <w:i/>
                <w:color w:val="767171" w:themeColor="background2" w:themeShade="80"/>
                <w:sz w:val="20"/>
                <w:szCs w:val="20"/>
              </w:rPr>
              <w:t xml:space="preserve">Forde PM et al., N Engl J Med. 2022 May 26</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2">
              <w:r>
                <w:rPr>
                  <w:sz w:val="20"/>
                  <w:rStyle w:val="Hyperlink"/>
                </w:rPr>
                <w:t xml:space="preserve">26028407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Advanced Squamous-Cell Non-Small-Cell Lung Cancer.</w:t>
            </w:r>
            <w:r>
              <w:rPr>
                <w:color w:val="404040" w:themeColor="text1" w:themeTint="BF"/>
                <w:sz w:val="20"/>
                <w:szCs w:val="20"/>
              </w:rPr>
              <w:t xml:space="preserve"> </w:t>
            </w:r>
            <w:r w:rsidRPr="00D90DD4">
              <w:rPr>
                <w:i/>
                <w:color w:val="767171" w:themeColor="background2" w:themeShade="80"/>
                <w:sz w:val="20"/>
                <w:szCs w:val="20"/>
              </w:rPr>
              <w:t xml:space="preserve">Brahmer J et al., N Engl J Med. 2015 Jul 09</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3">
              <w:r>
                <w:rPr>
                  <w:sz w:val="20"/>
                  <w:rStyle w:val="Hyperlink"/>
                </w:rPr>
                <w:t xml:space="preserve">26412456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Advanced Nonsquamous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Borghaei H et al., N Engl J Med. 2015 Oct 22</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4">
              <w:r>
                <w:rPr>
                  <w:sz w:val="20"/>
                  <w:rStyle w:val="Hyperlink"/>
                </w:rPr>
                <w:t xml:space="preserve">29023213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Nivolumab Versus Docetaxel in Previously Treated Patients With Advanced Non-Small-Cell Lung Cancer: Two-Year Outcomes From Two Randomized, Open-Label, Phase III Trials (CheckMate 017 and CheckMate 057).</w:t>
            </w:r>
            <w:r>
              <w:rPr>
                <w:color w:val="404040" w:themeColor="text1" w:themeTint="BF"/>
                <w:sz w:val="20"/>
                <w:szCs w:val="20"/>
              </w:rPr>
              <w:t xml:space="preserve"> </w:t>
            </w:r>
            <w:r w:rsidRPr="00D90DD4">
              <w:rPr>
                <w:i/>
                <w:color w:val="767171" w:themeColor="background2" w:themeShade="80"/>
                <w:sz w:val="20"/>
                <w:szCs w:val="20"/>
              </w:rPr>
              <w:t xml:space="preserve">Horn L et al., J Clin Oncol. 2017 Dec 10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5">
              <w:r>
                <w:rPr>
                  <w:sz w:val="20"/>
                  <w:rStyle w:val="Hyperlink"/>
                </w:rPr>
                <w:t xml:space="preserve">33449799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Five-Year Outcomes From the Randomized, Phase III Trials CheckMate 017 and 057: Nivolumab Versus Docetaxel in Previously Treated Non-Small-Cell Lung Cancer.</w:t>
            </w:r>
            <w:r>
              <w:rPr>
                <w:color w:val="404040" w:themeColor="text1" w:themeTint="BF"/>
                <w:sz w:val="20"/>
                <w:szCs w:val="20"/>
              </w:rPr>
              <w:t xml:space="preserve"> </w:t>
            </w:r>
            <w:r w:rsidRPr="00D90DD4">
              <w:rPr>
                <w:i/>
                <w:color w:val="767171" w:themeColor="background2" w:themeShade="80"/>
                <w:sz w:val="20"/>
                <w:szCs w:val="20"/>
              </w:rPr>
              <w:t xml:space="preserve">Borghaei H et al., J Clin Oncol. 2021 Mar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6">
              <w:r>
                <w:rPr>
                  <w:sz w:val="20"/>
                  <w:rStyle w:val="Hyperlink"/>
                </w:rPr>
                <w:t xml:space="preserve">34937915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foundations of immune checkpoint blockade and the ipilimumab approval decennial.</w:t>
            </w:r>
            <w:r>
              <w:rPr>
                <w:color w:val="404040" w:themeColor="text1" w:themeTint="BF"/>
                <w:sz w:val="20"/>
                <w:szCs w:val="20"/>
              </w:rPr>
              <w:t xml:space="preserve"> </w:t>
            </w:r>
            <w:r w:rsidRPr="00D90DD4">
              <w:rPr>
                <w:i/>
                <w:color w:val="767171" w:themeColor="background2" w:themeShade="80"/>
                <w:sz w:val="20"/>
                <w:szCs w:val="20"/>
              </w:rPr>
              <w:t xml:space="preserve">Korman AJ et al., Nat Rev Drug Discov. 2022 Jul</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7">
              <w:r>
                <w:rPr>
                  <w:sz w:val="20"/>
                  <w:rStyle w:val="Hyperlink"/>
                </w:rPr>
                <w:t xml:space="preserve">28878676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PD-1 and PD-L1 Checkpoint Signaling Inhibition for Cancer Immunotherapy: Mechanism, Combinations, and Clinical Outcome.</w:t>
            </w:r>
            <w:r>
              <w:rPr>
                <w:color w:val="404040" w:themeColor="text1" w:themeTint="BF"/>
                <w:sz w:val="20"/>
                <w:szCs w:val="20"/>
              </w:rPr>
              <w:t xml:space="preserve"> </w:t>
            </w:r>
            <w:r w:rsidRPr="00D90DD4">
              <w:rPr>
                <w:i/>
                <w:color w:val="767171" w:themeColor="background2" w:themeShade="80"/>
                <w:sz w:val="20"/>
                <w:szCs w:val="20"/>
              </w:rPr>
              <w:t xml:space="preserve">Alsaab HO et al., Front Pharmacol. 2017</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8">
              <w:r>
                <w:rPr>
                  <w:sz w:val="20"/>
                  <w:rStyle w:val="Hyperlink"/>
                </w:rPr>
                <w:t xml:space="preserve">23718298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a novel antiangiogenic agent.</w:t>
            </w:r>
            <w:r>
              <w:rPr>
                <w:color w:val="404040" w:themeColor="text1" w:themeTint="BF"/>
                <w:sz w:val="20"/>
                <w:szCs w:val="20"/>
              </w:rPr>
              <w:t xml:space="preserve"> </w:t>
            </w:r>
            <w:r w:rsidRPr="00D90DD4">
              <w:rPr>
                <w:i/>
                <w:color w:val="767171" w:themeColor="background2" w:themeShade="80"/>
                <w:sz w:val="20"/>
                <w:szCs w:val="20"/>
              </w:rPr>
              <w:t xml:space="preserve">Wadhwa R et al., Future Oncol. 2013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29">
              <w:r>
                <w:rPr>
                  <w:sz w:val="20"/>
                  <w:rStyle w:val="Hyperlink"/>
                </w:rPr>
                <w:t xml:space="preserve">30314524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Targeting VEGFR2 with Ramucirumab strongly impacts effector/ activated regulatory T cells and CD8T cells in the tumor microenvironment.</w:t>
            </w:r>
            <w:r>
              <w:rPr>
                <w:color w:val="404040" w:themeColor="text1" w:themeTint="BF"/>
                <w:sz w:val="20"/>
                <w:szCs w:val="20"/>
              </w:rPr>
              <w:t xml:space="preserve"> </w:t>
            </w:r>
            <w:r w:rsidRPr="00D90DD4">
              <w:rPr>
                <w:i/>
                <w:color w:val="767171" w:themeColor="background2" w:themeShade="80"/>
                <w:sz w:val="20"/>
                <w:szCs w:val="20"/>
              </w:rPr>
              <w:t xml:space="preserve">Tada Y et al., J Immunother Cancer. 2018 Oct 11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0">
              <w:r>
                <w:rPr>
                  <w:sz w:val="20"/>
                  <w:rStyle w:val="Hyperlink"/>
                </w:rPr>
                <w:t xml:space="preserve">27306885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Evolution of ramucirumab in the treatment of cancer - A review of literature.</w:t>
            </w:r>
            <w:r>
              <w:rPr>
                <w:color w:val="404040" w:themeColor="text1" w:themeTint="BF"/>
                <w:sz w:val="20"/>
                <w:szCs w:val="20"/>
              </w:rPr>
              <w:t xml:space="preserve"> </w:t>
            </w:r>
            <w:r w:rsidRPr="00D90DD4">
              <w:rPr>
                <w:i/>
                <w:color w:val="767171" w:themeColor="background2" w:themeShade="80"/>
                <w:sz w:val="20"/>
                <w:szCs w:val="20"/>
              </w:rPr>
              <w:t xml:space="preserve">Vennepureddy A et al., J Oncol Pharm Pract. 2017 Oct</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1">
              <w:r>
                <w:rPr>
                  <w:sz w:val="20"/>
                  <w:rStyle w:val="Hyperlink"/>
                </w:rPr>
                <w:t xml:space="preserve">29191593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Outcomes in patients with aggressive or refractory disease from REVEL: A randomized phase III study of docetaxel with ramucirumab or placebo for second-line treatment of stage IV non-small-cell lung cancer.</w:t>
            </w:r>
            <w:r>
              <w:rPr>
                <w:color w:val="404040" w:themeColor="text1" w:themeTint="BF"/>
                <w:sz w:val="20"/>
                <w:szCs w:val="20"/>
              </w:rPr>
              <w:t xml:space="preserve"> </w:t>
            </w:r>
            <w:r w:rsidRPr="00D90DD4">
              <w:rPr>
                <w:i/>
                <w:color w:val="767171" w:themeColor="background2" w:themeShade="80"/>
                <w:sz w:val="20"/>
                <w:szCs w:val="20"/>
              </w:rPr>
              <w:t xml:space="preserve">Reck M et al., Lung Cancer. 2017 Oct</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2">
              <w:r>
                <w:rPr>
                  <w:sz w:val="20"/>
                  <w:rStyle w:val="Hyperlink"/>
                </w:rPr>
                <w:t xml:space="preserve">24933332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docetaxel versus placebo plus docetaxel for second-line treatment of stage IV non-small-cell lung cancer after disease progression on platinum-based therapy (REVEL): a multicentre, double-blind, randomised phase 3 trial.</w:t>
            </w:r>
            <w:r>
              <w:rPr>
                <w:color w:val="404040" w:themeColor="text1" w:themeTint="BF"/>
                <w:sz w:val="20"/>
                <w:szCs w:val="20"/>
              </w:rPr>
              <w:t xml:space="preserve"> </w:t>
            </w:r>
            <w:r w:rsidRPr="00D90DD4">
              <w:rPr>
                <w:i/>
                <w:color w:val="767171" w:themeColor="background2" w:themeShade="80"/>
                <w:sz w:val="20"/>
                <w:szCs w:val="20"/>
              </w:rPr>
              <w:t xml:space="preserve">Garon EB et al., Lancet. 2014 Aug 23</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3">
              <w:r>
                <w:rPr>
                  <w:sz w:val="20"/>
                  <w:rStyle w:val="Hyperlink"/>
                </w:rPr>
                <w:t xml:space="preserve">23419196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VEGF signaling pathway in cancer: the road ahead.</w:t>
            </w:r>
            <w:r>
              <w:rPr>
                <w:color w:val="404040" w:themeColor="text1" w:themeTint="BF"/>
                <w:sz w:val="20"/>
                <w:szCs w:val="20"/>
              </w:rPr>
              <w:t xml:space="preserve"> </w:t>
            </w:r>
            <w:r w:rsidRPr="00D90DD4">
              <w:rPr>
                <w:i/>
                <w:color w:val="767171" w:themeColor="background2" w:themeShade="80"/>
                <w:sz w:val="20"/>
                <w:szCs w:val="20"/>
              </w:rPr>
              <w:t xml:space="preserve">Stacker SA et al., Chin J Cancer. 2013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4">
              <w:r>
                <w:rPr>
                  <w:sz w:val="20"/>
                  <w:rStyle w:val="Hyperlink"/>
                </w:rPr>
                <w:t xml:space="preserve">20688807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w:t>
            </w:r>
            <w:r>
              <w:rPr>
                <w:color w:val="404040" w:themeColor="text1" w:themeTint="BF"/>
                <w:sz w:val="20"/>
                <w:szCs w:val="20"/>
              </w:rPr>
              <w:t xml:space="preserve"> </w:t>
            </w:r>
            <w:r w:rsidRPr="00D90DD4">
              <w:rPr>
                <w:i/>
                <w:color w:val="767171" w:themeColor="background2" w:themeShade="80"/>
                <w:sz w:val="20"/>
                <w:szCs w:val="20"/>
              </w:rPr>
              <w:t xml:space="preserve">Kazazi-Hyseni F et al., Oncologist. 2010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5">
              <w:r>
                <w:rPr>
                  <w:sz w:val="20"/>
                  <w:rStyle w:val="Hyperlink"/>
                </w:rPr>
                <w:t xml:space="preserve">32335505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(Avastin®) in cancer treatment: A review of 15 years of clinical experience and future outlook.</w:t>
            </w:r>
            <w:r>
              <w:rPr>
                <w:color w:val="404040" w:themeColor="text1" w:themeTint="BF"/>
                <w:sz w:val="20"/>
                <w:szCs w:val="20"/>
              </w:rPr>
              <w:t xml:space="preserve"> </w:t>
            </w:r>
            <w:r w:rsidRPr="00D90DD4">
              <w:rPr>
                <w:i/>
                <w:color w:val="767171" w:themeColor="background2" w:themeShade="80"/>
                <w:sz w:val="20"/>
                <w:szCs w:val="20"/>
              </w:rPr>
              <w:t xml:space="preserve">Garcia J et al., Cancer Treat Rev. 2020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6">
              <w:r>
                <w:rPr>
                  <w:sz w:val="20"/>
                  <w:rStyle w:val="Hyperlink"/>
                </w:rPr>
                <w:t xml:space="preserve">17167137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Paclitaxel-carboplatin alone or with bevacizumab for non-small-cell lung cancer.</w:t>
            </w:r>
            <w:r>
              <w:rPr>
                <w:color w:val="404040" w:themeColor="text1" w:themeTint="BF"/>
                <w:sz w:val="20"/>
                <w:szCs w:val="20"/>
              </w:rPr>
              <w:t xml:space="preserve"> </w:t>
            </w:r>
            <w:r w:rsidRPr="00D90DD4">
              <w:rPr>
                <w:i/>
                <w:color w:val="767171" w:themeColor="background2" w:themeShade="80"/>
                <w:sz w:val="20"/>
                <w:szCs w:val="20"/>
              </w:rPr>
              <w:t xml:space="preserve">Sandler A et al., N Engl J Med. 2006 Dec 14</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7">
              <w:r>
                <w:rPr>
                  <w:sz w:val="20"/>
                  <w:rStyle w:val="Hyperlink"/>
                </w:rPr>
                <w:t xml:space="preserve">17602060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(Avastin) plus Carboplatin and Paclitaxel as first-line treatment of advanced/metastatic recurrent nonsquamous non-small cell lung cancer.</w:t>
            </w:r>
            <w:r>
              <w:rPr>
                <w:color w:val="404040" w:themeColor="text1" w:themeTint="BF"/>
                <w:sz w:val="20"/>
                <w:szCs w:val="20"/>
              </w:rPr>
              <w:t xml:space="preserve"> </w:t>
            </w:r>
            <w:r w:rsidRPr="00D90DD4">
              <w:rPr>
                <w:i/>
                <w:color w:val="767171" w:themeColor="background2" w:themeShade="80"/>
                <w:sz w:val="20"/>
                <w:szCs w:val="20"/>
              </w:rPr>
              <w:t xml:space="preserve">Cohen MH et al., Oncologist. 2007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8">
              <w:r>
                <w:rPr>
                  <w:sz w:val="20"/>
                  <w:rStyle w:val="Hyperlink"/>
                </w:rPr>
                <w:t xml:space="preserve">33725344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Review of Monoclonal Antibody-Based Treatments in Non-small Cell Lung Cancer.</w:t>
            </w:r>
            <w:r>
              <w:rPr>
                <w:color w:val="404040" w:themeColor="text1" w:themeTint="BF"/>
                <w:sz w:val="20"/>
                <w:szCs w:val="20"/>
              </w:rPr>
              <w:t xml:space="preserve"> </w:t>
            </w:r>
            <w:r w:rsidRPr="00D90DD4">
              <w:rPr>
                <w:i/>
                <w:color w:val="767171" w:themeColor="background2" w:themeShade="80"/>
                <w:sz w:val="20"/>
                <w:szCs w:val="20"/>
              </w:rPr>
              <w:t xml:space="preserve">Panahi Y et al., Adv Exp Med Biol. 2021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39">
              <w:r>
                <w:rPr>
                  <w:sz w:val="20"/>
                  <w:rStyle w:val="Hyperlink"/>
                </w:rPr>
                <w:t xml:space="preserve">20150572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Overall survival with cisplatin-gemcitabine and bevacizumab or placebo as first-line therapy for nonsquamous non-small-cell lung cancer: results from a randomised phase III trial (AVAiL).</w:t>
            </w:r>
            <w:r>
              <w:rPr>
                <w:color w:val="404040" w:themeColor="text1" w:themeTint="BF"/>
                <w:sz w:val="20"/>
                <w:szCs w:val="20"/>
              </w:rPr>
              <w:t xml:space="preserve"> </w:t>
            </w:r>
            <w:r w:rsidRPr="00D90DD4">
              <w:rPr>
                <w:i/>
                <w:color w:val="767171" w:themeColor="background2" w:themeShade="80"/>
                <w:sz w:val="20"/>
                <w:szCs w:val="20"/>
              </w:rPr>
              <w:t xml:space="preserve">Reck M et al., Ann Oncol. 2010 Sep</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0">
              <w:r>
                <w:rPr>
                  <w:sz w:val="20"/>
                  <w:rStyle w:val="Hyperlink"/>
                </w:rPr>
                <w:t xml:space="preserve">30392436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and Erlotinib in the treatment of squamous-cell lung cancer.</w:t>
            </w:r>
            <w:r>
              <w:rPr>
                <w:color w:val="404040" w:themeColor="text1" w:themeTint="BF"/>
                <w:sz w:val="20"/>
                <w:szCs w:val="20"/>
              </w:rPr>
              <w:t xml:space="preserve"> </w:t>
            </w:r>
            <w:r w:rsidRPr="00D90DD4">
              <w:rPr>
                <w:i/>
                <w:color w:val="767171" w:themeColor="background2" w:themeShade="80"/>
                <w:sz w:val="20"/>
                <w:szCs w:val="20"/>
              </w:rPr>
              <w:t xml:space="preserve">Tagliamento M et al., Expert Opin Pharmacother. 2018 Dec</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1">
              <w:r>
                <w:rPr>
                  <w:sz w:val="20"/>
                  <w:rStyle w:val="Hyperlink"/>
                </w:rPr>
                <w:t xml:space="preserve">29902295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Association of ERBB Mutations With Clinical Outcomes of Afatinib- or Erlotinib-Treated Patients With Lung Squamous Cell Carcinoma: Secondary Analysis of the LUX-Lung 8 Randomized Clinical Trial.</w:t>
            </w:r>
            <w:r>
              <w:rPr>
                <w:color w:val="404040" w:themeColor="text1" w:themeTint="BF"/>
                <w:sz w:val="20"/>
                <w:szCs w:val="20"/>
              </w:rPr>
              <w:t xml:space="preserve"> </w:t>
            </w:r>
            <w:r w:rsidRPr="00D90DD4">
              <w:rPr>
                <w:i/>
                <w:color w:val="767171" w:themeColor="background2" w:themeShade="80"/>
                <w:sz w:val="20"/>
                <w:szCs w:val="20"/>
              </w:rPr>
              <w:t xml:space="preserve">Goss GD et al., JAMA Oncol. 2018 Sep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2">
              <w:r>
                <w:rPr>
                  <w:sz w:val="20"/>
                  <w:rStyle w:val="Hyperlink"/>
                </w:rPr>
                <w:t xml:space="preserve">26156651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versus erlotinib as second-line treatment of patients with advanced squamous cell carcinoma of the lung (LUX-Lung 8): an open-label randomised controlled phase 3 trial.</w:t>
            </w:r>
            <w:r>
              <w:rPr>
                <w:color w:val="404040" w:themeColor="text1" w:themeTint="BF"/>
                <w:sz w:val="20"/>
                <w:szCs w:val="20"/>
              </w:rPr>
              <w:t xml:space="preserve"> </w:t>
            </w:r>
            <w:r w:rsidRPr="00D90DD4">
              <w:rPr>
                <w:i/>
                <w:color w:val="767171" w:themeColor="background2" w:themeShade="80"/>
                <w:sz w:val="20"/>
                <w:szCs w:val="20"/>
              </w:rPr>
              <w:t xml:space="preserve">Soria JC et al., Lancet Oncol. 2015 Aug</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3">
              <w:r>
                <w:rPr>
                  <w:sz w:val="20"/>
                  <w:rStyle w:val="Hyperlink"/>
                </w:rPr>
                <w:t xml:space="preserve">33061419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Advanced Squamous Cell Carcinoma of the Lung: Current Treatment Approaches and the Role of Afatinib.</w:t>
            </w:r>
            <w:r>
              <w:rPr>
                <w:color w:val="404040" w:themeColor="text1" w:themeTint="BF"/>
                <w:sz w:val="20"/>
                <w:szCs w:val="20"/>
              </w:rPr>
              <w:t xml:space="preserve"> </w:t>
            </w:r>
            <w:r w:rsidRPr="00D90DD4">
              <w:rPr>
                <w:i/>
                <w:color w:val="767171" w:themeColor="background2" w:themeShade="80"/>
                <w:sz w:val="20"/>
                <w:szCs w:val="20"/>
              </w:rPr>
              <w:t xml:space="preserve">Santos ES et al., Onco Targets Ther. 2020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4">
              <w:r>
                <w:rPr>
                  <w:sz w:val="20"/>
                  <w:rStyle w:val="Hyperlink"/>
                </w:rPr>
                <w:t xml:space="preserve">31432705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in lung cancer: current evidence and future perspectives.</w:t>
            </w:r>
            <w:r>
              <w:rPr>
                <w:color w:val="404040" w:themeColor="text1" w:themeTint="BF"/>
                <w:sz w:val="20"/>
                <w:szCs w:val="20"/>
              </w:rPr>
              <w:t xml:space="preserve"> </w:t>
            </w:r>
            <w:r w:rsidRPr="00D90DD4">
              <w:rPr>
                <w:i/>
                <w:color w:val="767171" w:themeColor="background2" w:themeShade="80"/>
                <w:sz w:val="20"/>
                <w:szCs w:val="20"/>
              </w:rPr>
              <w:t xml:space="preserve">Palumbo G et al., Future Oncol. 2019 Oct</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5">
              <w:r>
                <w:rPr>
                  <w:sz w:val="20"/>
                  <w:rStyle w:val="Hyperlink"/>
                </w:rPr>
                <w:t xml:space="preserve">30280635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plus Chemotherapy for 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Paz-Ares L et al., N Engl J Med. 2018 Nov 22</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6">
              <w:r>
                <w:rPr>
                  <w:sz w:val="20"/>
                  <w:rStyle w:val="Hyperlink"/>
                </w:rPr>
                <w:t xml:space="preserve">31751163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Health-Related Quality of Life With Carboplatin-Paclitaxel or nab-Paclitaxel With or Without Pembrolizumab in Patients With Metastatic Squamous Non-Small-Cell Lung Cancer.</w:t>
            </w:r>
            <w:r>
              <w:rPr>
                <w:color w:val="404040" w:themeColor="text1" w:themeTint="BF"/>
                <w:sz w:val="20"/>
                <w:szCs w:val="20"/>
              </w:rPr>
              <w:t xml:space="preserve"> </w:t>
            </w:r>
            <w:r w:rsidRPr="00D90DD4">
              <w:rPr>
                <w:i/>
                <w:color w:val="767171" w:themeColor="background2" w:themeShade="80"/>
                <w:sz w:val="20"/>
                <w:szCs w:val="20"/>
              </w:rPr>
              <w:t xml:space="preserve">Mazieres J et al., J Clin Oncol. 2020 Jan 20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7">
              <w:r>
                <w:rPr>
                  <w:sz w:val="20"/>
                  <w:rStyle w:val="Hyperlink"/>
                </w:rPr>
                <w:t xml:space="preserve">18275813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Structural basis for EGF receptor inhibition by the therapeutic antibody IMC-11F8.</w:t>
            </w:r>
            <w:r>
              <w:rPr>
                <w:color w:val="404040" w:themeColor="text1" w:themeTint="BF"/>
                <w:sz w:val="20"/>
                <w:szCs w:val="20"/>
              </w:rPr>
              <w:t xml:space="preserve"> </w:t>
            </w:r>
            <w:r w:rsidRPr="00D90DD4">
              <w:rPr>
                <w:i/>
                <w:color w:val="767171" w:themeColor="background2" w:themeShade="80"/>
                <w:sz w:val="20"/>
                <w:szCs w:val="20"/>
              </w:rPr>
              <w:t xml:space="preserve">Li S et al., Structure. 2008 Feb</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8">
              <w:r>
                <w:rPr>
                  <w:sz w:val="20"/>
                  <w:rStyle w:val="Hyperlink"/>
                </w:rPr>
                <w:t xml:space="preserve">30025476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a new option for first-line treatment of squamous cell lung cancer.</w:t>
            </w:r>
            <w:r>
              <w:rPr>
                <w:color w:val="404040" w:themeColor="text1" w:themeTint="BF"/>
                <w:sz w:val="20"/>
                <w:szCs w:val="20"/>
              </w:rPr>
              <w:t xml:space="preserve"> </w:t>
            </w:r>
            <w:r w:rsidRPr="00D90DD4">
              <w:rPr>
                <w:i/>
                <w:color w:val="767171" w:themeColor="background2" w:themeShade="80"/>
                <w:sz w:val="20"/>
                <w:szCs w:val="20"/>
              </w:rPr>
              <w:t xml:space="preserve">Jiménez Aguilar E et al., Expert Opin Drug Metab Toxicol. 2018 Aug</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49">
              <w:r>
                <w:rPr>
                  <w:sz w:val="20"/>
                  <w:rStyle w:val="Hyperlink"/>
                </w:rPr>
                <w:t xml:space="preserve">26045340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plus gemcitabine and cisplatin versus gemcitabine and cisplatin alone as first-line therapy in patients with stage IV squamous non-small-cell lung cancer (SQUIRE): an open-label, randomised, controlled phase 3 trial.</w:t>
            </w:r>
            <w:r>
              <w:rPr>
                <w:color w:val="404040" w:themeColor="text1" w:themeTint="BF"/>
                <w:sz w:val="20"/>
                <w:szCs w:val="20"/>
              </w:rPr>
              <w:t xml:space="preserve"> </w:t>
            </w:r>
            <w:r w:rsidRPr="00D90DD4">
              <w:rPr>
                <w:i/>
                <w:color w:val="767171" w:themeColor="background2" w:themeShade="80"/>
                <w:sz w:val="20"/>
                <w:szCs w:val="20"/>
              </w:rPr>
              <w:t xml:space="preserve">Thatcher N et al., Lancet Oncol. 2015 Jul</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0">
              <w:r>
                <w:rPr>
                  <w:sz w:val="20"/>
                  <w:rStyle w:val="Hyperlink"/>
                </w:rPr>
                <w:t xml:space="preserve">26980471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Effect of Necitumumab in Combination with Gemcitabine plus Cisplatin on Tolerability and on Quality of Life: Results from the Phase 3 SQUIRE Trial.</w:t>
            </w:r>
            <w:r>
              <w:rPr>
                <w:color w:val="404040" w:themeColor="text1" w:themeTint="BF"/>
                <w:sz w:val="20"/>
                <w:szCs w:val="20"/>
              </w:rPr>
              <w:t xml:space="preserve"> </w:t>
            </w:r>
            <w:r w:rsidRPr="00D90DD4">
              <w:rPr>
                <w:i/>
                <w:color w:val="767171" w:themeColor="background2" w:themeShade="80"/>
                <w:sz w:val="20"/>
                <w:szCs w:val="20"/>
              </w:rPr>
              <w:t xml:space="preserve">Reck M et al., J Thorac Oncol. 2016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1">
              <w:r>
                <w:rPr>
                  <w:sz w:val="20"/>
                  <w:rStyle w:val="Hyperlink"/>
                </w:rPr>
                <w:t xml:space="preserve">25979928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The Paradigm of an Oncogene-Driven Lung Cancer.</w:t>
            </w:r>
            <w:r>
              <w:rPr>
                <w:color w:val="404040" w:themeColor="text1" w:themeTint="BF"/>
                <w:sz w:val="20"/>
                <w:szCs w:val="20"/>
              </w:rPr>
              <w:t xml:space="preserve"> </w:t>
            </w:r>
            <w:r w:rsidRPr="00D90DD4">
              <w:rPr>
                <w:i/>
                <w:color w:val="767171" w:themeColor="background2" w:themeShade="80"/>
                <w:sz w:val="20"/>
                <w:szCs w:val="20"/>
              </w:rPr>
              <w:t xml:space="preserve">Riely GJ et al., Clin Cancer Res. 2015 May 15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2">
              <w:r>
                <w:rPr>
                  <w:sz w:val="20"/>
                  <w:rStyle w:val="Hyperlink"/>
                </w:rPr>
                <w:t xml:space="preserve">23470965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Analysis of tumor specimens at the time of acquired resistance to EGFR-TKI therapy in 155 patients with EGFR-mutant lung cancers.</w:t>
            </w:r>
            <w:r>
              <w:rPr>
                <w:color w:val="404040" w:themeColor="text1" w:themeTint="BF"/>
                <w:sz w:val="20"/>
                <w:szCs w:val="20"/>
              </w:rPr>
              <w:t xml:space="preserve"> </w:t>
            </w:r>
            <w:r w:rsidRPr="00D90DD4">
              <w:rPr>
                <w:i/>
                <w:color w:val="767171" w:themeColor="background2" w:themeShade="80"/>
                <w:sz w:val="20"/>
                <w:szCs w:val="20"/>
              </w:rPr>
              <w:t xml:space="preserve">Yu HA et al., Clin Cancer Res. 2013 Apr 15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3">
              <w:r>
                <w:rPr>
                  <w:sz w:val="20"/>
                  <w:rStyle w:val="Hyperlink"/>
                </w:rPr>
                <w:t xml:space="preserve">25271963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Discovery of a potent and selective EGFR inhibitor (AZD9291) of both sensitizing and T790M resistance mutations that spares the wild type form of the receptor.</w:t>
            </w:r>
            <w:r>
              <w:rPr>
                <w:color w:val="404040" w:themeColor="text1" w:themeTint="BF"/>
                <w:sz w:val="20"/>
                <w:szCs w:val="20"/>
              </w:rPr>
              <w:t xml:space="preserve"> </w:t>
            </w:r>
            <w:r w:rsidRPr="00D90DD4">
              <w:rPr>
                <w:i/>
                <w:color w:val="767171" w:themeColor="background2" w:themeShade="80"/>
                <w:sz w:val="20"/>
                <w:szCs w:val="20"/>
              </w:rPr>
              <w:t xml:space="preserve">Finlay MR et al., J Med Chem. 2014 Oct 23</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4">
              <w:r>
                <w:rPr>
                  <w:sz w:val="20"/>
                  <w:rStyle w:val="Hyperlink"/>
                </w:rPr>
                <w:t xml:space="preserve">24101047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Emerging paradigms in the development of resistance to tyrosine kinase inhibitors in lung cancer.</w:t>
            </w:r>
            <w:r>
              <w:rPr>
                <w:color w:val="404040" w:themeColor="text1" w:themeTint="BF"/>
                <w:sz w:val="20"/>
                <w:szCs w:val="20"/>
              </w:rPr>
              <w:t xml:space="preserve"> </w:t>
            </w:r>
            <w:r w:rsidRPr="00D90DD4">
              <w:rPr>
                <w:i/>
                <w:color w:val="767171" w:themeColor="background2" w:themeShade="80"/>
                <w:sz w:val="20"/>
                <w:szCs w:val="20"/>
              </w:rPr>
              <w:t xml:space="preserve">Gainor JF et al., J Clin Oncol. 2013 Nov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5">
              <w:r>
                <w:rPr>
                  <w:sz w:val="20"/>
                  <w:rStyle w:val="Hyperlink"/>
                </w:rPr>
                <w:t xml:space="preserve">15737014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Acquired resistance of lung adenocarcinomas to gefitinib or erlotinib is associated with a second mutation in the EGFR kinase domain.</w:t>
            </w:r>
            <w:r>
              <w:rPr>
                <w:color w:val="404040" w:themeColor="text1" w:themeTint="BF"/>
                <w:sz w:val="20"/>
                <w:szCs w:val="20"/>
              </w:rPr>
              <w:t xml:space="preserve"> </w:t>
            </w:r>
            <w:r w:rsidRPr="00D90DD4">
              <w:rPr>
                <w:i/>
                <w:color w:val="767171" w:themeColor="background2" w:themeShade="80"/>
                <w:sz w:val="20"/>
                <w:szCs w:val="20"/>
              </w:rPr>
              <w:t xml:space="preserve">Pao W et al., PLoS Med. 2005 Mar</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6">
              <w:r>
                <w:rPr>
                  <w:sz w:val="20"/>
                  <w:rStyle w:val="Hyperlink"/>
                </w:rPr>
                <w:t xml:space="preserve">17020982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Analysis of epidermal growth factor receptor gene mutation in patients with non-small cell lung cancer and acquired resistance to gefitinib.</w:t>
            </w:r>
            <w:r>
              <w:rPr>
                <w:color w:val="404040" w:themeColor="text1" w:themeTint="BF"/>
                <w:sz w:val="20"/>
                <w:szCs w:val="20"/>
              </w:rPr>
              <w:t xml:space="preserve"> </w:t>
            </w:r>
            <w:r w:rsidRPr="00D90DD4">
              <w:rPr>
                <w:i/>
                <w:color w:val="767171" w:themeColor="background2" w:themeShade="80"/>
                <w:sz w:val="20"/>
                <w:szCs w:val="20"/>
              </w:rPr>
              <w:t xml:space="preserve">Kosaka T et al., Clin Cancer Res. 2006 Oct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7">
              <w:r>
                <w:rPr>
                  <w:sz w:val="20"/>
                  <w:rStyle w:val="Hyperlink"/>
                </w:rPr>
                <w:t xml:space="preserve">19589612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Acquired resistance to gefitinib: the contribution of mechanisms other than the T790M, MET, and HGF status.</w:t>
            </w:r>
            <w:r>
              <w:rPr>
                <w:color w:val="404040" w:themeColor="text1" w:themeTint="BF"/>
                <w:sz w:val="20"/>
                <w:szCs w:val="20"/>
              </w:rPr>
              <w:t xml:space="preserve"> </w:t>
            </w:r>
            <w:r w:rsidRPr="00D90DD4">
              <w:rPr>
                <w:i/>
                <w:color w:val="767171" w:themeColor="background2" w:themeShade="80"/>
                <w:sz w:val="20"/>
                <w:szCs w:val="20"/>
              </w:rPr>
              <w:t xml:space="preserve">Onitsuka T et al., Lung Cancer. 2010 May</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8">
              <w:r>
                <w:rPr>
                  <w:sz w:val="20"/>
                  <w:rStyle w:val="Hyperlink"/>
                </w:rPr>
                <w:t xml:space="preserve">18227510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T790M mutation in EGFR kinase causes drug resistance by increasing the affinity for ATP.</w:t>
            </w:r>
            <w:r>
              <w:rPr>
                <w:color w:val="404040" w:themeColor="text1" w:themeTint="BF"/>
                <w:sz w:val="20"/>
                <w:szCs w:val="20"/>
              </w:rPr>
              <w:t xml:space="preserve"> </w:t>
            </w:r>
            <w:r w:rsidRPr="00D90DD4">
              <w:rPr>
                <w:i/>
                <w:color w:val="767171" w:themeColor="background2" w:themeShade="80"/>
                <w:sz w:val="20"/>
                <w:szCs w:val="20"/>
              </w:rPr>
              <w:t xml:space="preserve">Yun CH et al., Proc Natl Acad Sci U S A. 2008 Feb 12</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59">
              <w:r>
                <w:rPr>
                  <w:sz w:val="20"/>
                  <w:rStyle w:val="Hyperlink"/>
                </w:rPr>
                <w:t xml:space="preserve">15728811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mutation and resistance of non-small-cell lung cancer to gefitinib.</w:t>
            </w:r>
            <w:r>
              <w:rPr>
                <w:color w:val="404040" w:themeColor="text1" w:themeTint="BF"/>
                <w:sz w:val="20"/>
                <w:szCs w:val="20"/>
              </w:rPr>
              <w:t xml:space="preserve"> </w:t>
            </w:r>
            <w:r w:rsidRPr="00D90DD4">
              <w:rPr>
                <w:i/>
                <w:color w:val="767171" w:themeColor="background2" w:themeShade="80"/>
                <w:sz w:val="20"/>
                <w:szCs w:val="20"/>
              </w:rPr>
              <w:t xml:space="preserve">Kobayashi S et al., N Engl J Med. 2005 Feb 24</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0">
              <w:r>
                <w:rPr>
                  <w:sz w:val="20"/>
                  <w:rStyle w:val="Hyperlink"/>
                </w:rPr>
                <w:t xml:space="preserve">15897464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Irreversible inhibitors of the EGF receptor may circumvent acquired resistance to gefitinib.</w:t>
            </w:r>
            <w:r>
              <w:rPr>
                <w:color w:val="404040" w:themeColor="text1" w:themeTint="BF"/>
                <w:sz w:val="20"/>
                <w:szCs w:val="20"/>
              </w:rPr>
              <w:t xml:space="preserve"> </w:t>
            </w:r>
            <w:r w:rsidRPr="00D90DD4">
              <w:rPr>
                <w:i/>
                <w:color w:val="767171" w:themeColor="background2" w:themeShade="80"/>
                <w:sz w:val="20"/>
                <w:szCs w:val="20"/>
              </w:rPr>
              <w:t xml:space="preserve">Kwak EL et al., Proc Natl Acad Sci U S A. 2005 May 24</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1">
              <w:r>
                <w:rPr>
                  <w:sz w:val="20"/>
                  <w:rStyle w:val="Hyperlink"/>
                </w:rPr>
                <w:t xml:space="preserve">31562956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Rare epidermal growth factor receptor (EGFR) mutations in non-small cell lung cancer.</w:t>
            </w:r>
            <w:r>
              <w:rPr>
                <w:color w:val="404040" w:themeColor="text1" w:themeTint="BF"/>
                <w:sz w:val="20"/>
                <w:szCs w:val="20"/>
              </w:rPr>
              <w:t xml:space="preserve"> </w:t>
            </w:r>
            <w:r w:rsidRPr="00D90DD4">
              <w:rPr>
                <w:i/>
                <w:color w:val="767171" w:themeColor="background2" w:themeShade="80"/>
                <w:sz w:val="20"/>
                <w:szCs w:val="20"/>
              </w:rPr>
              <w:t xml:space="preserve">Harrison PT et al., Semin Cancer Biol. 2020 04</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2">
              <w:r>
                <w:rPr>
                  <w:sz w:val="20"/>
                  <w:rStyle w:val="Hyperlink"/>
                </w:rPr>
                <w:t xml:space="preserve">30108370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Making the first move in EGFR-driven or ALK-driven NSCLC: first-generation or next-generation TKI?</w:t>
            </w:r>
            <w:r>
              <w:rPr>
                <w:color w:val="404040" w:themeColor="text1" w:themeTint="BF"/>
                <w:sz w:val="20"/>
                <w:szCs w:val="20"/>
              </w:rPr>
              <w:t xml:space="preserve"> </w:t>
            </w:r>
            <w:r w:rsidRPr="00D90DD4">
              <w:rPr>
                <w:i/>
                <w:color w:val="767171" w:themeColor="background2" w:themeShade="80"/>
                <w:sz w:val="20"/>
                <w:szCs w:val="20"/>
              </w:rPr>
              <w:t xml:space="preserve">Recondo G et al., Nat Rev Clin Oncol. 2018 11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3">
              <w:r>
                <w:rPr>
                  <w:sz w:val="20"/>
                  <w:rStyle w:val="Hyperlink"/>
                </w:rPr>
                <w:t xml:space="preserve">16258541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Inherited susceptibility to lung cancer may be associated with the T790M drug resistance mutation in EGFR.</w:t>
            </w:r>
            <w:r>
              <w:rPr>
                <w:color w:val="404040" w:themeColor="text1" w:themeTint="BF"/>
                <w:sz w:val="20"/>
                <w:szCs w:val="20"/>
              </w:rPr>
              <w:t xml:space="preserve"> </w:t>
            </w:r>
            <w:r w:rsidRPr="00D90DD4">
              <w:rPr>
                <w:i/>
                <w:color w:val="767171" w:themeColor="background2" w:themeShade="80"/>
                <w:sz w:val="20"/>
                <w:szCs w:val="20"/>
              </w:rPr>
              <w:t xml:space="preserve">Bell DW et al., Nat Genet. 2005 Dec</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4">
              <w:r>
                <w:rPr>
                  <w:sz w:val="20"/>
                  <w:rStyle w:val="Hyperlink"/>
                </w:rPr>
                <w:t xml:space="preserve">22588155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Screening for germline EGFR T790M mutations through lung cancer genotyping.</w:t>
            </w:r>
            <w:r>
              <w:rPr>
                <w:color w:val="404040" w:themeColor="text1" w:themeTint="BF"/>
                <w:sz w:val="20"/>
                <w:szCs w:val="20"/>
              </w:rPr>
              <w:t xml:space="preserve"> </w:t>
            </w:r>
            <w:r w:rsidRPr="00D90DD4">
              <w:rPr>
                <w:i/>
                <w:color w:val="767171" w:themeColor="background2" w:themeShade="80"/>
                <w:sz w:val="20"/>
                <w:szCs w:val="20"/>
              </w:rPr>
              <w:t xml:space="preserve">Oxnard GR et al., J Thorac Oncol. 2012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5">
              <w:r>
                <w:rPr>
                  <w:sz w:val="20"/>
                  <w:rStyle w:val="Hyperlink"/>
                </w:rPr>
                <w:t xml:space="preserve">24736066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Hereditary lung cancer syndrome targets never smokers with germline EGFR gene T790M mutations.</w:t>
            </w:r>
            <w:r>
              <w:rPr>
                <w:color w:val="404040" w:themeColor="text1" w:themeTint="BF"/>
                <w:sz w:val="20"/>
                <w:szCs w:val="20"/>
              </w:rPr>
              <w:t xml:space="preserve"> </w:t>
            </w:r>
            <w:r w:rsidRPr="00D90DD4">
              <w:rPr>
                <w:i/>
                <w:color w:val="767171" w:themeColor="background2" w:themeShade="80"/>
                <w:sz w:val="20"/>
                <w:szCs w:val="20"/>
              </w:rPr>
              <w:t xml:space="preserve">Gazdar A et al., J Thorac Oncol. 2014 Apr</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6">
              <w:r>
                <w:rPr>
                  <w:sz w:val="20"/>
                  <w:rStyle w:val="Hyperlink"/>
                </w:rPr>
                <w:t xml:space="preserve">24478319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Poor response to erlotinib in patients with tumors containing baseline EGFR T790M mutations found by routine clinical molecular testing.</w:t>
            </w:r>
            <w:r>
              <w:rPr>
                <w:color w:val="404040" w:themeColor="text1" w:themeTint="BF"/>
                <w:sz w:val="20"/>
                <w:szCs w:val="20"/>
              </w:rPr>
              <w:t xml:space="preserve"> </w:t>
            </w:r>
            <w:r w:rsidRPr="00D90DD4">
              <w:rPr>
                <w:i/>
                <w:color w:val="767171" w:themeColor="background2" w:themeShade="80"/>
                <w:sz w:val="20"/>
                <w:szCs w:val="20"/>
              </w:rPr>
              <w:t xml:space="preserve">Yu HA et al., Ann Oncol. 2014 Feb</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7">
              <w:r>
                <w:rPr>
                  <w:sz w:val="20"/>
                  <w:rStyle w:val="Hyperlink"/>
                </w:rPr>
                <w:t xml:space="preserve">22215752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Pretreatment epidermal growth factor receptor (EGFR) T790M mutation predicts shorter EGFR tyrosine kinase inhibitor response duration in patients with non-small-cell lung cancer.</w:t>
            </w:r>
            <w:r>
              <w:rPr>
                <w:color w:val="404040" w:themeColor="text1" w:themeTint="BF"/>
                <w:sz w:val="20"/>
                <w:szCs w:val="20"/>
              </w:rPr>
              <w:t xml:space="preserve"> </w:t>
            </w:r>
            <w:r w:rsidRPr="00D90DD4">
              <w:rPr>
                <w:i/>
                <w:color w:val="767171" w:themeColor="background2" w:themeShade="80"/>
                <w:sz w:val="20"/>
                <w:szCs w:val="20"/>
              </w:rPr>
              <w:t xml:space="preserve">Su KY et al., J Clin Oncol. 2012 Feb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8">
              <w:r>
                <w:rPr>
                  <w:sz w:val="20"/>
                  <w:rStyle w:val="Hyperlink"/>
                </w:rPr>
                <w:t xml:space="preserve">21233402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Pretreatment EGFR T790M mutation and BRCA1 mRNA expression in erlotinib-treated advanced non-small-cell lung cancer patients with EGFR mutations.</w:t>
            </w:r>
            <w:r>
              <w:rPr>
                <w:color w:val="404040" w:themeColor="text1" w:themeTint="BF"/>
                <w:sz w:val="20"/>
                <w:szCs w:val="20"/>
              </w:rPr>
              <w:t xml:space="preserve"> </w:t>
            </w:r>
            <w:r w:rsidRPr="00D90DD4">
              <w:rPr>
                <w:i/>
                <w:color w:val="767171" w:themeColor="background2" w:themeShade="80"/>
                <w:sz w:val="20"/>
                <w:szCs w:val="20"/>
              </w:rPr>
              <w:t xml:space="preserve">Rosell R et al., Clin Cancer Res. 2011 Mar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69">
              <w:r>
                <w:rPr>
                  <w:sz w:val="20"/>
                  <w:rStyle w:val="Hyperlink"/>
                </w:rPr>
                <w:t xml:space="preserve">24893891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AZD9291, an irreversible EGFR TKI, overcomes T790M-mediated resistance to EGFR inhibitors in lung cancer.</w:t>
            </w:r>
            <w:r>
              <w:rPr>
                <w:color w:val="404040" w:themeColor="text1" w:themeTint="BF"/>
                <w:sz w:val="20"/>
                <w:szCs w:val="20"/>
              </w:rPr>
              <w:t xml:space="preserve"> </w:t>
            </w:r>
            <w:r w:rsidRPr="00D90DD4">
              <w:rPr>
                <w:i/>
                <w:color w:val="767171" w:themeColor="background2" w:themeShade="80"/>
                <w:sz w:val="20"/>
                <w:szCs w:val="20"/>
              </w:rPr>
              <w:t xml:space="preserve">Cross DA et al., Cancer Discov. 2014 Sep</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0">
              <w:r>
                <w:rPr>
                  <w:sz w:val="20"/>
                  <w:rStyle w:val="Hyperlink"/>
                </w:rPr>
                <w:t xml:space="preserve">33392095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Development of EGFR TKIs and Options to Manage Resistance of Third-Generation EGFR TKI Osimertinib: Conventional Ways and Immune Checkpoint Inhibitors.</w:t>
            </w:r>
            <w:r>
              <w:rPr>
                <w:color w:val="404040" w:themeColor="text1" w:themeTint="BF"/>
                <w:sz w:val="20"/>
                <w:szCs w:val="20"/>
              </w:rPr>
              <w:t xml:space="preserve"> </w:t>
            </w:r>
            <w:r w:rsidRPr="00D90DD4">
              <w:rPr>
                <w:i/>
                <w:color w:val="767171" w:themeColor="background2" w:themeShade="80"/>
                <w:sz w:val="20"/>
                <w:szCs w:val="20"/>
              </w:rPr>
              <w:t xml:space="preserve">Wu L et al., Front Oncol. 2020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1">
              <w:r>
                <w:rPr>
                  <w:sz w:val="20"/>
                  <w:rStyle w:val="Hyperlink"/>
                </w:rPr>
                <w:t xml:space="preserve">27959700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Osimertinib or Platinum-Pemetrexed in EGFR T790M-Positive Lung Cancer.</w:t>
            </w:r>
            <w:r>
              <w:rPr>
                <w:color w:val="404040" w:themeColor="text1" w:themeTint="BF"/>
                <w:sz w:val="20"/>
                <w:szCs w:val="20"/>
              </w:rPr>
              <w:t xml:space="preserve"> </w:t>
            </w:r>
            <w:r w:rsidRPr="00D90DD4">
              <w:rPr>
                <w:i/>
                <w:color w:val="767171" w:themeColor="background2" w:themeShade="80"/>
                <w:sz w:val="20"/>
                <w:szCs w:val="20"/>
              </w:rPr>
              <w:t xml:space="preserve">Mok TS et al., N Engl J Med. 2017 Feb 16</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2">
              <w:r>
                <w:rPr>
                  <w:sz w:val="20"/>
                  <w:rStyle w:val="Hyperlink"/>
                </w:rPr>
                <w:t xml:space="preserve">30527177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mutation analysis for prospective patient selection in AURA3 phase III trial of osimertinib versus platinum-pemetrexed in patients with EGFR T790M-positive advanced non-small-cell lung cancer.</w:t>
            </w:r>
            <w:r>
              <w:rPr>
                <w:color w:val="404040" w:themeColor="text1" w:themeTint="BF"/>
                <w:sz w:val="20"/>
                <w:szCs w:val="20"/>
              </w:rPr>
              <w:t xml:space="preserve"> </w:t>
            </w:r>
            <w:r w:rsidRPr="00D90DD4">
              <w:rPr>
                <w:i/>
                <w:color w:val="767171" w:themeColor="background2" w:themeShade="80"/>
                <w:sz w:val="20"/>
                <w:szCs w:val="20"/>
              </w:rPr>
              <w:t xml:space="preserve">John T et al., Lung Cancer. 2018 Dec</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3">
              <w:r>
                <w:rPr>
                  <w:sz w:val="20"/>
                  <w:rStyle w:val="Hyperlink"/>
                </w:rPr>
                <w:t xml:space="preserve">32861806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Osimertinib versus platinum-pemetrexed for patients with EGFR T790M advanced NSCLC and progression on a prior EGFR-tyrosine kinase inhibitor: AURA3 overall survival analysis.</w:t>
            </w:r>
            <w:r>
              <w:rPr>
                <w:color w:val="404040" w:themeColor="text1" w:themeTint="BF"/>
                <w:sz w:val="20"/>
                <w:szCs w:val="20"/>
              </w:rPr>
              <w:t xml:space="preserve"> </w:t>
            </w:r>
            <w:r w:rsidRPr="00D90DD4">
              <w:rPr>
                <w:i/>
                <w:color w:val="767171" w:themeColor="background2" w:themeShade="80"/>
                <w:sz w:val="20"/>
                <w:szCs w:val="20"/>
              </w:rPr>
              <w:t xml:space="preserve">Papadimitrakopoulou VA et al., Ann Oncol. 2020 Nov</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4">
              <w:r>
                <w:rPr>
                  <w:sz w:val="20"/>
                  <w:rStyle w:val="Hyperlink"/>
                </w:rPr>
                <w:t xml:space="preserve">25923549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AZD9291 in EGFR inhibitor-resistant non-small-cell lung cancer.</w:t>
            </w:r>
            <w:r>
              <w:rPr>
                <w:color w:val="404040" w:themeColor="text1" w:themeTint="BF"/>
                <w:sz w:val="20"/>
                <w:szCs w:val="20"/>
              </w:rPr>
              <w:t xml:space="preserve"> </w:t>
            </w:r>
            <w:r w:rsidRPr="00D90DD4">
              <w:rPr>
                <w:i/>
                <w:color w:val="767171" w:themeColor="background2" w:themeShade="80"/>
                <w:sz w:val="20"/>
                <w:szCs w:val="20"/>
              </w:rPr>
              <w:t xml:space="preserve">Jänne PA et al., N Engl J Med. 2015 Apr 30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5">
              <w:r>
                <w:rPr>
                  <w:sz w:val="20"/>
                  <w:rStyle w:val="Hyperlink"/>
                </w:rPr>
                <w:t xml:space="preserve">28221867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Osimertinib in Pretreated T790M-Positive Advanced Non-Small-Cell Lung Cancer: AURA Study Phase II Extension Component.</w:t>
            </w:r>
            <w:r>
              <w:rPr>
                <w:color w:val="404040" w:themeColor="text1" w:themeTint="BF"/>
                <w:sz w:val="20"/>
                <w:szCs w:val="20"/>
              </w:rPr>
              <w:t xml:space="preserve"> </w:t>
            </w:r>
            <w:r w:rsidRPr="00D90DD4">
              <w:rPr>
                <w:i/>
                <w:color w:val="767171" w:themeColor="background2" w:themeShade="80"/>
                <w:sz w:val="20"/>
                <w:szCs w:val="20"/>
              </w:rPr>
              <w:t xml:space="preserve">Yang JC et al., J Clin Oncol. 2017 Apr 20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6">
              <w:r>
                <w:rPr>
                  <w:sz w:val="20"/>
                  <w:rStyle w:val="Hyperlink"/>
                </w:rPr>
                <w:t xml:space="preserve">29151359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Osimertinib in Untreated EGFR-Mutated Advanced Non-Small-Cell Lung Cancer.</w:t>
            </w:r>
            <w:r>
              <w:rPr>
                <w:color w:val="404040" w:themeColor="text1" w:themeTint="BF"/>
                <w:sz w:val="20"/>
                <w:szCs w:val="20"/>
              </w:rPr>
              <w:t xml:space="preserve"> </w:t>
            </w:r>
            <w:r w:rsidRPr="00D90DD4">
              <w:rPr>
                <w:i/>
                <w:color w:val="767171" w:themeColor="background2" w:themeShade="80"/>
                <w:sz w:val="20"/>
                <w:szCs w:val="20"/>
              </w:rPr>
              <w:t xml:space="preserve">Soria JC et al., N Engl J Med. 2018 Jan 11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7">
              <w:r>
                <w:rPr>
                  <w:sz w:val="20"/>
                  <w:rStyle w:val="Hyperlink"/>
                </w:rPr>
                <w:t xml:space="preserve">29320658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Osimertinib as First-Line Treatment in EGFR-Mutated Non-Small-Cell Lung Cancer.</w:t>
            </w:r>
            <w:r>
              <w:rPr>
                <w:color w:val="404040" w:themeColor="text1" w:themeTint="BF"/>
                <w:sz w:val="20"/>
                <w:szCs w:val="20"/>
              </w:rPr>
              <w:t xml:space="preserve"> </w:t>
            </w:r>
            <w:r w:rsidRPr="00D90DD4">
              <w:rPr>
                <w:i/>
                <w:color w:val="767171" w:themeColor="background2" w:themeShade="80"/>
                <w:sz w:val="20"/>
                <w:szCs w:val="20"/>
              </w:rPr>
              <w:t xml:space="preserve">Popat S, N Engl J Med. 2018 Jan 11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8">
              <w:r>
                <w:rPr>
                  <w:sz w:val="20"/>
                  <w:rStyle w:val="Hyperlink"/>
                </w:rPr>
                <w:t xml:space="preserve">28149837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Next-Generation EGFR Tyrosine Kinase Inhibitors for Treating-Mutant Lung Cancer beyond First Line.</w:t>
            </w:r>
            <w:r>
              <w:rPr>
                <w:color w:val="404040" w:themeColor="text1" w:themeTint="BF"/>
                <w:sz w:val="20"/>
                <w:szCs w:val="20"/>
              </w:rPr>
              <w:t xml:space="preserve"> </w:t>
            </w:r>
            <w:r w:rsidRPr="00D90DD4">
              <w:rPr>
                <w:i/>
                <w:color w:val="767171" w:themeColor="background2" w:themeShade="80"/>
                <w:sz w:val="20"/>
                <w:szCs w:val="20"/>
              </w:rPr>
              <w:t xml:space="preserve">Sullivan I et al., Front Med (Lausanne). 2016</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79">
              <w:r>
                <w:rPr>
                  <w:sz w:val="20"/>
                  <w:rStyle w:val="Hyperlink"/>
                </w:rPr>
                <w:t xml:space="preserve">33687763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Atezolizumab and Durvalumab in Combination with Platinum-Based Chemotherapy in Extensive Stage Small Cell Lung Cancer.</w:t>
            </w:r>
            <w:r>
              <w:rPr>
                <w:color w:val="404040" w:themeColor="text1" w:themeTint="BF"/>
                <w:sz w:val="20"/>
                <w:szCs w:val="20"/>
              </w:rPr>
              <w:t xml:space="preserve"> </w:t>
            </w:r>
            <w:r w:rsidRPr="00D90DD4">
              <w:rPr>
                <w:i/>
                <w:color w:val="767171" w:themeColor="background2" w:themeShade="80"/>
                <w:sz w:val="20"/>
                <w:szCs w:val="20"/>
              </w:rPr>
              <w:t xml:space="preserve">Mathieu L et al., Oncologist. 2021 05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0">
              <w:r>
                <w:rPr>
                  <w:sz w:val="20"/>
                  <w:rStyle w:val="Hyperlink"/>
                </w:rPr>
                <w:t xml:space="preserve">32764980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Update on Targeted Therapies for Advanced Non-Small Cell Lung Cancer: Durvalumab in Context.</w:t>
            </w:r>
            <w:r>
              <w:rPr>
                <w:color w:val="404040" w:themeColor="text1" w:themeTint="BF"/>
                <w:sz w:val="20"/>
                <w:szCs w:val="20"/>
              </w:rPr>
              <w:t xml:space="preserve"> </w:t>
            </w:r>
            <w:r w:rsidRPr="00D90DD4">
              <w:rPr>
                <w:i/>
                <w:color w:val="767171" w:themeColor="background2" w:themeShade="80"/>
                <w:sz w:val="20"/>
                <w:szCs w:val="20"/>
              </w:rPr>
              <w:t xml:space="preserve">Gullapalli S et al., Onco Targets Ther. 2020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1">
              <w:r>
                <w:rPr>
                  <w:sz w:val="20"/>
                  <w:rStyle w:val="Hyperlink"/>
                </w:rPr>
                <w:t xml:space="preserve">35276342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to immune checkpoint blockade: Mechanisms, counter-acting approaches, and future directions.</w:t>
            </w:r>
            <w:r>
              <w:rPr>
                <w:color w:val="404040" w:themeColor="text1" w:themeTint="BF"/>
                <w:sz w:val="20"/>
                <w:szCs w:val="20"/>
              </w:rPr>
              <w:t xml:space="preserve"> </w:t>
            </w:r>
            <w:r w:rsidRPr="00D90DD4">
              <w:rPr>
                <w:i/>
                <w:color w:val="767171" w:themeColor="background2" w:themeShade="80"/>
                <w:sz w:val="20"/>
                <w:szCs w:val="20"/>
              </w:rPr>
              <w:t xml:space="preserve">Haddad AF et al., Semin Cancer Biol. 2022 Mar 09</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2">
              <w:r>
                <w:rPr>
                  <w:sz w:val="20"/>
                  <w:rStyle w:val="Hyperlink"/>
                </w:rPr>
                <w:t xml:space="preserve">23493883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Afatinib: emerging next-generation tyrosine kinase inhibitor for NSCLC.</w:t>
            </w:r>
            <w:r>
              <w:rPr>
                <w:color w:val="404040" w:themeColor="text1" w:themeTint="BF"/>
                <w:sz w:val="20"/>
                <w:szCs w:val="20"/>
              </w:rPr>
              <w:t xml:space="preserve"> </w:t>
            </w:r>
            <w:r w:rsidRPr="00D90DD4">
              <w:rPr>
                <w:i/>
                <w:color w:val="767171" w:themeColor="background2" w:themeShade="80"/>
                <w:sz w:val="20"/>
                <w:szCs w:val="20"/>
              </w:rPr>
              <w:t xml:space="preserve">Nelson V et al., Onco Targets Ther. 2013</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3">
              <w:r>
                <w:rPr>
                  <w:sz w:val="20"/>
                  <w:rStyle w:val="Hyperlink"/>
                </w:rPr>
                <w:t xml:space="preserve">18408761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BIBW2992, an irreversible EGFR/HER2 inhibitor highly effective in preclinical lung cancer models.</w:t>
            </w:r>
            <w:r>
              <w:rPr>
                <w:color w:val="404040" w:themeColor="text1" w:themeTint="BF"/>
                <w:sz w:val="20"/>
                <w:szCs w:val="20"/>
              </w:rPr>
              <w:t xml:space="preserve"> </w:t>
            </w:r>
            <w:r w:rsidRPr="00D90DD4">
              <w:rPr>
                <w:i/>
                <w:color w:val="767171" w:themeColor="background2" w:themeShade="80"/>
                <w:sz w:val="20"/>
                <w:szCs w:val="20"/>
              </w:rPr>
              <w:t xml:space="preserve">Li D et al., Oncogene. 2008 Aug 07</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4">
              <w:r>
                <w:rPr>
                  <w:sz w:val="20"/>
                  <w:rStyle w:val="Hyperlink"/>
                </w:rPr>
                <w:t xml:space="preserve">34638411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Molecular Mechanism of EGFR-TKI Resistance in-Mutated Non-Small Cell Lung Cancer: Application to Biological Diagnostic and Monitoring.</w:t>
            </w:r>
            <w:r>
              <w:rPr>
                <w:color w:val="404040" w:themeColor="text1" w:themeTint="BF"/>
                <w:sz w:val="20"/>
                <w:szCs w:val="20"/>
              </w:rPr>
              <w:t xml:space="preserve"> </w:t>
            </w:r>
            <w:r w:rsidRPr="00D90DD4">
              <w:rPr>
                <w:i/>
                <w:color w:val="767171" w:themeColor="background2" w:themeShade="80"/>
                <w:sz w:val="20"/>
                <w:szCs w:val="20"/>
              </w:rPr>
              <w:t xml:space="preserve">Reita D et al., Cancers (Basel). 2021 Sep 30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5">
              <w:r>
                <w:rPr>
                  <w:sz w:val="20"/>
                  <w:rStyle w:val="Hyperlink"/>
                </w:rPr>
                <w:t xml:space="preserve">33256089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Overcoming Immune Evasion in Melanoma.</w:t>
            </w:r>
            <w:r>
              <w:rPr>
                <w:color w:val="404040" w:themeColor="text1" w:themeTint="BF"/>
                <w:sz w:val="20"/>
                <w:szCs w:val="20"/>
              </w:rPr>
              <w:t xml:space="preserve"> </w:t>
            </w:r>
            <w:r w:rsidRPr="00D90DD4">
              <w:rPr>
                <w:i/>
                <w:color w:val="767171" w:themeColor="background2" w:themeShade="80"/>
                <w:sz w:val="20"/>
                <w:szCs w:val="20"/>
              </w:rPr>
              <w:t xml:space="preserve">Eddy K et al., Int J Mol Sci. 2020 Nov 26</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6">
              <w:r>
                <w:rPr>
                  <w:sz w:val="20"/>
                  <w:rStyle w:val="Hyperlink"/>
                </w:rPr>
                <w:t xml:space="preserve">34184561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Urothelial carcinoma in the era of immune checkpoint inhibitors.</w:t>
            </w:r>
            <w:r>
              <w:rPr>
                <w:color w:val="404040" w:themeColor="text1" w:themeTint="BF"/>
                <w:sz w:val="20"/>
                <w:szCs w:val="20"/>
              </w:rPr>
              <w:t xml:space="preserve"> </w:t>
            </w:r>
            <w:r w:rsidRPr="00D90DD4">
              <w:rPr>
                <w:i/>
                <w:color w:val="767171" w:themeColor="background2" w:themeShade="80"/>
                <w:sz w:val="20"/>
                <w:szCs w:val="20"/>
              </w:rPr>
              <w:t xml:space="preserve">Khalife N et al., Immunotherapy. 2021 08</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7">
              <w:r>
                <w:rPr>
                  <w:sz w:val="20"/>
                  <w:rStyle w:val="Hyperlink"/>
                </w:rPr>
                <w:t xml:space="preserve">33401585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Immune Checkpoint Inhibitors for the Treatment of Bladder Cancer.</w:t>
            </w:r>
            <w:r>
              <w:rPr>
                <w:color w:val="404040" w:themeColor="text1" w:themeTint="BF"/>
                <w:sz w:val="20"/>
                <w:szCs w:val="20"/>
              </w:rPr>
              <w:t xml:space="preserve"> </w:t>
            </w:r>
            <w:r w:rsidRPr="00D90DD4">
              <w:rPr>
                <w:i/>
                <w:color w:val="767171" w:themeColor="background2" w:themeShade="80"/>
                <w:sz w:val="20"/>
                <w:szCs w:val="20"/>
              </w:rPr>
              <w:t xml:space="preserve">Lopez-Beltran A et al., Cancers (Basel). 2021 Jan 03</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8">
              <w:r>
                <w:rPr>
                  <w:sz w:val="20"/>
                  <w:rStyle w:val="Hyperlink"/>
                </w:rPr>
                <w:t xml:space="preserve">35101885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Approval Summary: Pembrolizumab, Atezolizumab, and Cemiplimab-rwlc as Single Agents for First-Line Treatment of Advanced/Metastatic PD-L1-High NSCLC.</w:t>
            </w:r>
            <w:r>
              <w:rPr>
                <w:color w:val="404040" w:themeColor="text1" w:themeTint="BF"/>
                <w:sz w:val="20"/>
                <w:szCs w:val="20"/>
              </w:rPr>
              <w:t xml:space="preserve"> </w:t>
            </w:r>
            <w:r w:rsidRPr="00D90DD4">
              <w:rPr>
                <w:i/>
                <w:color w:val="767171" w:themeColor="background2" w:themeShade="80"/>
                <w:sz w:val="20"/>
                <w:szCs w:val="20"/>
              </w:rPr>
              <w:t xml:space="preserve">Akinboro O et al., Clin Cancer Res. 2022 06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89">
              <w:r>
                <w:rPr>
                  <w:sz w:val="20"/>
                  <w:rStyle w:val="Hyperlink"/>
                </w:rPr>
                <w:t xml:space="preserve">34104805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Immunotherapy in non-small cell lung cancer: Update and new insights.</w:t>
            </w:r>
            <w:r>
              <w:rPr>
                <w:color w:val="404040" w:themeColor="text1" w:themeTint="BF"/>
                <w:sz w:val="20"/>
                <w:szCs w:val="20"/>
              </w:rPr>
              <w:t xml:space="preserve"> </w:t>
            </w:r>
            <w:r w:rsidRPr="00D90DD4">
              <w:rPr>
                <w:i/>
                <w:color w:val="767171" w:themeColor="background2" w:themeShade="80"/>
                <w:sz w:val="20"/>
                <w:szCs w:val="20"/>
              </w:rPr>
              <w:t xml:space="preserve">Mielgo-Rubio X et al., J Clin Transl Res. 2021 Feb 25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0">
              <w:r>
                <w:rPr>
                  <w:sz w:val="20"/>
                  <w:rStyle w:val="Hyperlink"/>
                </w:rPr>
                <w:t xml:space="preserve">35062949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Combination strategies with PD-1/PD-L1 blockade: current advances and future directions.</w:t>
            </w:r>
            <w:r>
              <w:rPr>
                <w:color w:val="404040" w:themeColor="text1" w:themeTint="BF"/>
                <w:sz w:val="20"/>
                <w:szCs w:val="20"/>
              </w:rPr>
              <w:t xml:space="preserve"> </w:t>
            </w:r>
            <w:r w:rsidRPr="00D90DD4">
              <w:rPr>
                <w:i/>
                <w:color w:val="767171" w:themeColor="background2" w:themeShade="80"/>
                <w:sz w:val="20"/>
                <w:szCs w:val="20"/>
              </w:rPr>
              <w:t xml:space="preserve">Yi M et al., Mol Cancer. 2022 01 21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1">
              <w:r>
                <w:rPr>
                  <w:sz w:val="20"/>
                  <w:rStyle w:val="Hyperlink"/>
                </w:rPr>
                <w:t xml:space="preserve">31829747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in combination with bevacizumab, paclitaxel and carboplatin for the first-line treatment of patients with metastatic non-squamous non-small cell lung cancer, including patients with EGFR mutations.</w:t>
            </w:r>
            <w:r>
              <w:rPr>
                <w:color w:val="404040" w:themeColor="text1" w:themeTint="BF"/>
                <w:sz w:val="20"/>
                <w:szCs w:val="20"/>
              </w:rPr>
              <w:t xml:space="preserve"> </w:t>
            </w:r>
            <w:r w:rsidRPr="00D90DD4">
              <w:rPr>
                <w:i/>
                <w:color w:val="767171" w:themeColor="background2" w:themeShade="80"/>
                <w:sz w:val="20"/>
                <w:szCs w:val="20"/>
              </w:rPr>
              <w:t xml:space="preserve">Reck M et al., Expert Rev Respir Med. 2020 02</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2">
              <w:r>
                <w:rPr>
                  <w:sz w:val="20"/>
                  <w:rStyle w:val="Hyperlink"/>
                </w:rPr>
                <w:t xml:space="preserve">33427656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Patterns of Disease Progression after Carboplatin/Etoposide + Atezolizumab in Extensive-Stage Small-Cell Lung Cancer (ES-SCLC).</w:t>
            </w:r>
            <w:r>
              <w:rPr>
                <w:color w:val="404040" w:themeColor="text1" w:themeTint="BF"/>
                <w:sz w:val="20"/>
                <w:szCs w:val="20"/>
              </w:rPr>
              <w:t xml:space="preserve"> </w:t>
            </w:r>
            <w:r w:rsidRPr="00D90DD4">
              <w:rPr>
                <w:i/>
                <w:color w:val="767171" w:themeColor="background2" w:themeShade="80"/>
                <w:sz w:val="20"/>
                <w:szCs w:val="20"/>
              </w:rPr>
              <w:t xml:space="preserve">Higgins KA et al., Int J Radiat Oncol Biol Phys. 2020 12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3">
              <w:r>
                <w:rPr>
                  <w:sz w:val="20"/>
                  <w:rStyle w:val="Hyperlink"/>
                </w:rPr>
                <w:t xml:space="preserve">35032007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Addition of Immune Checkpoint Inhibitors to Chemotherapy vs Chemotherapy Alone as First-Line Treatment in Extensive-Stage Small-Cell Lung Carcinoma: A Systematic Review and Meta-Analysis.</w:t>
            </w:r>
            <w:r>
              <w:rPr>
                <w:color w:val="404040" w:themeColor="text1" w:themeTint="BF"/>
                <w:sz w:val="20"/>
                <w:szCs w:val="20"/>
              </w:rPr>
              <w:t xml:space="preserve"> </w:t>
            </w:r>
            <w:r w:rsidRPr="00D90DD4">
              <w:rPr>
                <w:i/>
                <w:color w:val="767171" w:themeColor="background2" w:themeShade="80"/>
                <w:sz w:val="20"/>
                <w:szCs w:val="20"/>
              </w:rPr>
              <w:t xml:space="preserve">Arriola E et al., Oncol Ther. 2022 Jun</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4">
              <w:r>
                <w:rPr>
                  <w:sz w:val="20"/>
                  <w:rStyle w:val="Hyperlink"/>
                </w:rPr>
                <w:t xml:space="preserve">34956912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Immune Checkpoint Blockade in the Hepatocellular Carcinoma: A Review of Clinical Trials.</w:t>
            </w:r>
            <w:r>
              <w:rPr>
                <w:color w:val="404040" w:themeColor="text1" w:themeTint="BF"/>
                <w:sz w:val="20"/>
                <w:szCs w:val="20"/>
              </w:rPr>
              <w:t xml:space="preserve"> </w:t>
            </w:r>
            <w:r w:rsidRPr="00D90DD4">
              <w:rPr>
                <w:i/>
                <w:color w:val="767171" w:themeColor="background2" w:themeShade="80"/>
                <w:sz w:val="20"/>
                <w:szCs w:val="20"/>
              </w:rPr>
              <w:t xml:space="preserve">Ozer M et al., Front Oncol. 2021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5">
              <w:r>
                <w:rPr>
                  <w:sz w:val="20"/>
                  <w:rStyle w:val="Hyperlink"/>
                </w:rPr>
                <w:t xml:space="preserve">35081747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and bevacizumab with transarterial chemoembolization in hepatocellular carcinoma: the DEMAND trial protocol.</w:t>
            </w:r>
            <w:r>
              <w:rPr>
                <w:color w:val="404040" w:themeColor="text1" w:themeTint="BF"/>
                <w:sz w:val="20"/>
                <w:szCs w:val="20"/>
              </w:rPr>
              <w:t xml:space="preserve"> </w:t>
            </w:r>
            <w:r w:rsidRPr="00D90DD4">
              <w:rPr>
                <w:i/>
                <w:color w:val="767171" w:themeColor="background2" w:themeShade="80"/>
                <w:sz w:val="20"/>
                <w:szCs w:val="20"/>
              </w:rPr>
              <w:t xml:space="preserve">Ben Khaled N et al., Future Oncol. 2022 04</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6">
              <w:r>
                <w:rPr>
                  <w:sz w:val="20"/>
                  <w:rStyle w:val="Hyperlink"/>
                </w:rPr>
                <w:t xml:space="preserve">32534646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vemurafenib, and cobimetinib as first-line treatment for unresectable advanced BRAFV600 mutation-positive melanoma (IMspire150): primary analysis of the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Gutzmer R et al., Lancet. 2020 06 13</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7">
              <w:r>
                <w:rPr>
                  <w:sz w:val="20"/>
                  <w:rStyle w:val="Hyperlink"/>
                </w:rPr>
                <w:t xml:space="preserve">35131452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Biomarkers of treatment benefit with atezolizumab plus vemurafenib plus cobimetinib in BRAFmutation-positive melanoma.</w:t>
            </w:r>
            <w:r>
              <w:rPr>
                <w:color w:val="404040" w:themeColor="text1" w:themeTint="BF"/>
                <w:sz w:val="20"/>
                <w:szCs w:val="20"/>
              </w:rPr>
              <w:t xml:space="preserve"> </w:t>
            </w:r>
            <w:r w:rsidRPr="00D90DD4">
              <w:rPr>
                <w:i/>
                <w:color w:val="767171" w:themeColor="background2" w:themeShade="80"/>
                <w:sz w:val="20"/>
                <w:szCs w:val="20"/>
              </w:rPr>
              <w:t xml:space="preserve">Robert C et al., Ann Oncol. 2022 05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8">
              <w:r>
                <w:rPr>
                  <w:sz w:val="20"/>
                  <w:rStyle w:val="Hyperlink"/>
                </w:rPr>
                <w:t xml:space="preserve">11970755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role of vascular endothelial growth factor (VEGF) in tumor angiogenesis and early clinical development of VEGF-receptor kinase inhibitors.</w:t>
            </w:r>
            <w:r>
              <w:rPr>
                <w:color w:val="404040" w:themeColor="text1" w:themeTint="BF"/>
                <w:sz w:val="20"/>
                <w:szCs w:val="20"/>
              </w:rPr>
              <w:t xml:space="preserve"> </w:t>
            </w:r>
            <w:r w:rsidRPr="00D90DD4">
              <w:rPr>
                <w:i/>
                <w:color w:val="767171" w:themeColor="background2" w:themeShade="80"/>
                <w:sz w:val="20"/>
                <w:szCs w:val="20"/>
              </w:rPr>
              <w:t xml:space="preserve">Verheul HM et al., Clin Breast Cancer. 2000 Sep</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99">
              <w:r>
                <w:rPr>
                  <w:sz w:val="20"/>
                  <w:rStyle w:val="Hyperlink"/>
                </w:rPr>
                <w:t xml:space="preserve">25568148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Practical management of bevacizumab-related toxicities in glioblastoma.</w:t>
            </w:r>
            <w:r>
              <w:rPr>
                <w:color w:val="404040" w:themeColor="text1" w:themeTint="BF"/>
                <w:sz w:val="20"/>
                <w:szCs w:val="20"/>
              </w:rPr>
              <w:t xml:space="preserve"> </w:t>
            </w:r>
            <w:r w:rsidRPr="00D90DD4">
              <w:rPr>
                <w:i/>
                <w:color w:val="767171" w:themeColor="background2" w:themeShade="80"/>
                <w:sz w:val="20"/>
                <w:szCs w:val="20"/>
              </w:rPr>
              <w:t xml:space="preserve">Brandes AA et al., Oncologist. 2015 Feb</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0">
              <w:r>
                <w:rPr>
                  <w:sz w:val="20"/>
                  <w:rStyle w:val="Hyperlink"/>
                </w:rPr>
                <w:t xml:space="preserve">17212999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 angiogenesis inhibitor for the treatment of solid malignancies.</w:t>
            </w:r>
            <w:r>
              <w:rPr>
                <w:color w:val="404040" w:themeColor="text1" w:themeTint="BF"/>
                <w:sz w:val="20"/>
                <w:szCs w:val="20"/>
              </w:rPr>
              <w:t xml:space="preserve"> </w:t>
            </w:r>
            <w:r w:rsidRPr="00D90DD4">
              <w:rPr>
                <w:i/>
                <w:color w:val="767171" w:themeColor="background2" w:themeShade="80"/>
                <w:sz w:val="20"/>
                <w:szCs w:val="20"/>
              </w:rPr>
              <w:t xml:space="preserve">Shih T et al., Clin Ther. 2006 Nov</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1">
              <w:r>
                <w:rPr>
                  <w:sz w:val="20"/>
                  <w:rStyle w:val="Hyperlink"/>
                </w:rPr>
                <w:t xml:space="preserve">19897538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(Avastin) as treatment of recurrent glioblastoma multiforme.</w:t>
            </w:r>
            <w:r>
              <w:rPr>
                <w:color w:val="404040" w:themeColor="text1" w:themeTint="BF"/>
                <w:sz w:val="20"/>
                <w:szCs w:val="20"/>
              </w:rPr>
              <w:t xml:space="preserve"> </w:t>
            </w:r>
            <w:r w:rsidRPr="00D90DD4">
              <w:rPr>
                <w:i/>
                <w:color w:val="767171" w:themeColor="background2" w:themeShade="80"/>
                <w:sz w:val="20"/>
                <w:szCs w:val="20"/>
              </w:rPr>
              <w:t xml:space="preserve">Cohen MH et al., Oncologist. 2009 Nov</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2">
              <w:r>
                <w:rPr>
                  <w:sz w:val="20"/>
                  <w:rStyle w:val="Hyperlink"/>
                </w:rPr>
                <w:t xml:space="preserve">27748633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safety and efficacy of bevacizumab in the treatment of patients with recurrent or metastatic cervical cancer.</w:t>
            </w:r>
            <w:r>
              <w:rPr>
                <w:color w:val="404040" w:themeColor="text1" w:themeTint="BF"/>
                <w:sz w:val="20"/>
                <w:szCs w:val="20"/>
              </w:rPr>
              <w:t xml:space="preserve"> </w:t>
            </w:r>
            <w:r w:rsidRPr="00D90DD4">
              <w:rPr>
                <w:i/>
                <w:color w:val="767171" w:themeColor="background2" w:themeShade="80"/>
                <w:sz w:val="20"/>
                <w:szCs w:val="20"/>
              </w:rPr>
              <w:t xml:space="preserve">Minion LE et al., Expert Rev Anticancer Ther. 2017 Mar</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3">
              <w:r>
                <w:rPr>
                  <w:sz w:val="20"/>
                  <w:rStyle w:val="Hyperlink"/>
                </w:rPr>
                <w:t xml:space="preserve">15901587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in combination chemotherapy for colorectal and other cancers.</w:t>
            </w:r>
            <w:r>
              <w:rPr>
                <w:color w:val="404040" w:themeColor="text1" w:themeTint="BF"/>
                <w:sz w:val="20"/>
                <w:szCs w:val="20"/>
              </w:rPr>
              <w:t xml:space="preserve"> </w:t>
            </w:r>
            <w:r w:rsidRPr="00D90DD4">
              <w:rPr>
                <w:i/>
                <w:color w:val="767171" w:themeColor="background2" w:themeShade="80"/>
                <w:sz w:val="20"/>
                <w:szCs w:val="20"/>
              </w:rPr>
              <w:t xml:space="preserve">Motl S, Am J Health Syst Pharm. 2005 May 15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4">
              <w:r>
                <w:rPr>
                  <w:sz w:val="20"/>
                  <w:rStyle w:val="Hyperlink"/>
                </w:rPr>
                <w:t xml:space="preserve">20061402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FDA drug approval summary: bevacizumab plus interferon for advanced renal cell carcinoma.</w:t>
            </w:r>
            <w:r>
              <w:rPr>
                <w:color w:val="404040" w:themeColor="text1" w:themeTint="BF"/>
                <w:sz w:val="20"/>
                <w:szCs w:val="20"/>
              </w:rPr>
              <w:t xml:space="preserve"> </w:t>
            </w:r>
            <w:r w:rsidRPr="00D90DD4">
              <w:rPr>
                <w:i/>
                <w:color w:val="767171" w:themeColor="background2" w:themeShade="80"/>
                <w:sz w:val="20"/>
                <w:szCs w:val="20"/>
              </w:rPr>
              <w:t xml:space="preserve">Summers J et al., Oncologist. 2010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5">
              <w:r>
                <w:rPr>
                  <w:sz w:val="20"/>
                  <w:rStyle w:val="Hyperlink"/>
                </w:rPr>
                <w:t xml:space="preserve">24687829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 results from the open-label phase III AURELIA trial evaluating bevacizumab-containing therapy for platinum-resistant ovarian cancer.</w:t>
            </w:r>
            <w:r>
              <w:rPr>
                <w:color w:val="404040" w:themeColor="text1" w:themeTint="BF"/>
                <w:sz w:val="20"/>
                <w:szCs w:val="20"/>
              </w:rPr>
              <w:t xml:space="preserve"> </w:t>
            </w:r>
            <w:r w:rsidRPr="00D90DD4">
              <w:rPr>
                <w:i/>
                <w:color w:val="767171" w:themeColor="background2" w:themeShade="80"/>
                <w:sz w:val="20"/>
                <w:szCs w:val="20"/>
              </w:rPr>
              <w:t xml:space="preserve">Stockler MR et al., J Clin Oncol. 2014 May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6">
              <w:r>
                <w:rPr>
                  <w:sz w:val="20"/>
                  <w:rStyle w:val="Hyperlink"/>
                </w:rPr>
                <w:t xml:space="preserve">28438473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and paclitaxel-carboplatin chemotherapy and secondary cytoreduction in recurrent, platinum-sensitive ovarian cancer (NRG Oncology/Gynecologic Oncology Group study GOG-0213): a multicentre,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Coleman RL et al., Lancet Oncol. 2017 06</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7">
              <w:r>
                <w:rPr>
                  <w:sz w:val="20"/>
                  <w:rStyle w:val="Hyperlink"/>
                </w:rPr>
                <w:t xml:space="preserve">32305099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Bevacizumab and platinum-based combinations for recurrent ovarian cancer: a randomised, open-label, phase 3 trial.</w:t>
            </w:r>
            <w:r>
              <w:rPr>
                <w:color w:val="404040" w:themeColor="text1" w:themeTint="BF"/>
                <w:sz w:val="20"/>
                <w:szCs w:val="20"/>
              </w:rPr>
              <w:t xml:space="preserve"> </w:t>
            </w:r>
            <w:r w:rsidRPr="00D90DD4">
              <w:rPr>
                <w:i/>
                <w:color w:val="767171" w:themeColor="background2" w:themeShade="80"/>
                <w:sz w:val="20"/>
                <w:szCs w:val="20"/>
              </w:rPr>
              <w:t xml:space="preserve">Pfisterer J et al., Lancet Oncol. 2020 05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8">
              <w:r>
                <w:rPr>
                  <w:sz w:val="20"/>
                  <w:rStyle w:val="Hyperlink"/>
                </w:rPr>
                <w:t xml:space="preserve">22204724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Incorporation of bevacizumab in the primary treatment of ovarian cancer.</w:t>
            </w:r>
            <w:r>
              <w:rPr>
                <w:color w:val="404040" w:themeColor="text1" w:themeTint="BF"/>
                <w:sz w:val="20"/>
                <w:szCs w:val="20"/>
              </w:rPr>
              <w:t xml:space="preserve"> </w:t>
            </w:r>
            <w:r w:rsidRPr="00D90DD4">
              <w:rPr>
                <w:i/>
                <w:color w:val="767171" w:themeColor="background2" w:themeShade="80"/>
                <w:sz w:val="20"/>
                <w:szCs w:val="20"/>
              </w:rPr>
              <w:t xml:space="preserve">Burger RA et al., N Engl J Med. 2011 Dec 29</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09">
              <w:r>
                <w:rPr>
                  <w:sz w:val="20"/>
                  <w:rStyle w:val="Hyperlink"/>
                </w:rPr>
                <w:t xml:space="preserve">31216226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Final Overall Survival of a Randomized Trial of Bevacizumab for Primary Treatment of Ovarian Cancer.</w:t>
            </w:r>
            <w:r>
              <w:rPr>
                <w:color w:val="404040" w:themeColor="text1" w:themeTint="BF"/>
                <w:sz w:val="20"/>
                <w:szCs w:val="20"/>
              </w:rPr>
              <w:t xml:space="preserve"> </w:t>
            </w:r>
            <w:r w:rsidRPr="00D90DD4">
              <w:rPr>
                <w:i/>
                <w:color w:val="767171" w:themeColor="background2" w:themeShade="80"/>
                <w:sz w:val="20"/>
                <w:szCs w:val="20"/>
              </w:rPr>
              <w:t xml:space="preserve">Tewari KS et al., J Clin Oncol. 2019 09 10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0">
              <w:r>
                <w:rPr>
                  <w:sz w:val="20"/>
                  <w:rStyle w:val="Hyperlink"/>
                </w:rPr>
                <w:t xml:space="preserve">29863955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Atezolizumab for First-Line Treatment of Metastatic Nonsquamous NSCLC.</w:t>
            </w:r>
            <w:r>
              <w:rPr>
                <w:color w:val="404040" w:themeColor="text1" w:themeTint="BF"/>
                <w:sz w:val="20"/>
                <w:szCs w:val="20"/>
              </w:rPr>
              <w:t xml:space="preserve"> </w:t>
            </w:r>
            <w:r w:rsidRPr="00D90DD4">
              <w:rPr>
                <w:i/>
                <w:color w:val="767171" w:themeColor="background2" w:themeShade="80"/>
                <w:sz w:val="20"/>
                <w:szCs w:val="20"/>
              </w:rPr>
              <w:t xml:space="preserve">Socinski MA et al., N Engl J Med. 2018 Jun 14</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1">
              <w:r>
                <w:rPr>
                  <w:sz w:val="20"/>
                  <w:rStyle w:val="Hyperlink"/>
                </w:rPr>
                <w:t xml:space="preserve">34051880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Patient-reported outcomes with atezolizumab plus bevacizumab versus sorafenib in patients with unresectable hepatocellular carcinoma (IMbrave150): an open-label, randomised, phase 3 trial.</w:t>
            </w:r>
            <w:r>
              <w:rPr>
                <w:color w:val="404040" w:themeColor="text1" w:themeTint="BF"/>
                <w:sz w:val="20"/>
                <w:szCs w:val="20"/>
              </w:rPr>
              <w:t xml:space="preserve"> </w:t>
            </w:r>
            <w:r w:rsidRPr="00D90DD4">
              <w:rPr>
                <w:i/>
                <w:color w:val="767171" w:themeColor="background2" w:themeShade="80"/>
                <w:sz w:val="20"/>
                <w:szCs w:val="20"/>
              </w:rPr>
              <w:t xml:space="preserve">Galle PR et al., Lancet Oncol. 2021 07</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2">
              <w:r>
                <w:rPr>
                  <w:sz w:val="20"/>
                  <w:rStyle w:val="Hyperlink"/>
                </w:rPr>
                <w:t xml:space="preserve">34189869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Characterization of response to atezolizumab + bevacizumab versus sorafenib for hepatocellular carcinoma: Results from the IMbrave150 trial.</w:t>
            </w:r>
            <w:r>
              <w:rPr>
                <w:color w:val="404040" w:themeColor="text1" w:themeTint="BF"/>
                <w:sz w:val="20"/>
                <w:szCs w:val="20"/>
              </w:rPr>
              <w:t xml:space="preserve"> </w:t>
            </w:r>
            <w:r w:rsidRPr="00D90DD4">
              <w:rPr>
                <w:i/>
                <w:color w:val="767171" w:themeColor="background2" w:themeShade="80"/>
                <w:sz w:val="20"/>
                <w:szCs w:val="20"/>
              </w:rPr>
              <w:t xml:space="preserve">Salem R et al., Cancer Med. 2021 08</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3">
              <w:r>
                <w:rPr>
                  <w:sz w:val="20"/>
                  <w:rStyle w:val="Hyperlink"/>
                </w:rPr>
                <w:t xml:space="preserve">34534429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Pembrolizumab for Persistent, Recurrent, or Metastatic Cervical Cancer.</w:t>
            </w:r>
            <w:r>
              <w:rPr>
                <w:color w:val="404040" w:themeColor="text1" w:themeTint="BF"/>
                <w:sz w:val="20"/>
                <w:szCs w:val="20"/>
              </w:rPr>
              <w:t xml:space="preserve"> </w:t>
            </w:r>
            <w:r w:rsidRPr="00D90DD4">
              <w:rPr>
                <w:i/>
                <w:color w:val="767171" w:themeColor="background2" w:themeShade="80"/>
                <w:sz w:val="20"/>
                <w:szCs w:val="20"/>
              </w:rPr>
              <w:t xml:space="preserve">Colombo N et al., N Engl J Med. 2021 11 11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4">
              <w:r>
                <w:rPr>
                  <w:sz w:val="20"/>
                  <w:rStyle w:val="Hyperlink"/>
                </w:rPr>
                <w:t xml:space="preserve">30075697</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Necitumumab in the treatment of non-small-cell lung cancer: clinical controversies.</w:t>
            </w:r>
            <w:r>
              <w:rPr>
                <w:color w:val="404040" w:themeColor="text1" w:themeTint="BF"/>
                <w:sz w:val="20"/>
                <w:szCs w:val="20"/>
              </w:rPr>
              <w:t xml:space="preserve"> </w:t>
            </w:r>
            <w:r w:rsidRPr="00D90DD4">
              <w:rPr>
                <w:i/>
                <w:color w:val="767171" w:themeColor="background2" w:themeShade="80"/>
                <w:sz w:val="20"/>
                <w:szCs w:val="20"/>
              </w:rPr>
              <w:t xml:space="preserve">di Noia V et al., Expert Opin Biol Ther. 2018 09</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5">
              <w:r>
                <w:rPr>
                  <w:sz w:val="20"/>
                  <w:rStyle w:val="Hyperlink"/>
                </w:rPr>
                <w:t xml:space="preserve">33188892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EGFR targeting for cancer therapy: Pharmacology and immunoconjugates with drugs and nanoparticles.</w:t>
            </w:r>
            <w:r>
              <w:rPr>
                <w:color w:val="404040" w:themeColor="text1" w:themeTint="BF"/>
                <w:sz w:val="20"/>
                <w:szCs w:val="20"/>
              </w:rPr>
              <w:t xml:space="preserve"> </w:t>
            </w:r>
            <w:r w:rsidRPr="00D90DD4">
              <w:rPr>
                <w:i/>
                <w:color w:val="767171" w:themeColor="background2" w:themeShade="80"/>
                <w:sz w:val="20"/>
                <w:szCs w:val="20"/>
              </w:rPr>
              <w:t xml:space="preserve">Santos EDS et al., Int J Pharm. 2021 Jan 05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6">
              <w:r>
                <w:rPr>
                  <w:sz w:val="20"/>
                  <w:rStyle w:val="Hyperlink"/>
                </w:rPr>
                <w:t xml:space="preserve">20197484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A phase I pharmacologic study of necitumumab (IMC-11F8), a fully human IgG1 monoclonal antibody directed against EGFR in patients with advanced solid malignancies.</w:t>
            </w:r>
            <w:r>
              <w:rPr>
                <w:color w:val="404040" w:themeColor="text1" w:themeTint="BF"/>
                <w:sz w:val="20"/>
                <w:szCs w:val="20"/>
              </w:rPr>
              <w:t xml:space="preserve"> </w:t>
            </w:r>
            <w:r w:rsidRPr="00D90DD4">
              <w:rPr>
                <w:i/>
                <w:color w:val="767171" w:themeColor="background2" w:themeShade="80"/>
                <w:sz w:val="20"/>
                <w:szCs w:val="20"/>
              </w:rPr>
              <w:t xml:space="preserve">Kuenen B et al., Clin Cancer Res. 2010 Mar 15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7">
              <w:r>
                <w:rPr>
                  <w:sz w:val="20"/>
                  <w:rStyle w:val="Hyperlink"/>
                </w:rPr>
                <w:t xml:space="preserve">31228284</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effects of somatic mutations on EGFR interaction with anti-EGFR monoclonal antibodies: Implication for acquired resistance.</w:t>
            </w:r>
            <w:r>
              <w:rPr>
                <w:color w:val="404040" w:themeColor="text1" w:themeTint="BF"/>
                <w:sz w:val="20"/>
                <w:szCs w:val="20"/>
              </w:rPr>
              <w:t xml:space="preserve"> </w:t>
            </w:r>
            <w:r w:rsidRPr="00D90DD4">
              <w:rPr>
                <w:i/>
                <w:color w:val="767171" w:themeColor="background2" w:themeShade="80"/>
                <w:sz w:val="20"/>
                <w:szCs w:val="20"/>
              </w:rPr>
              <w:t xml:space="preserve">Tabasinezhad M et al., Proteins. 2020 01</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8">
              <w:r>
                <w:rPr>
                  <w:sz w:val="20"/>
                  <w:rStyle w:val="Hyperlink"/>
                </w:rPr>
                <w:t xml:space="preserve">32793499</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The Latest Battles Between EGFR Monoclonal Antibodies and Resistant Tumor Cells.</w:t>
            </w:r>
            <w:r>
              <w:rPr>
                <w:color w:val="404040" w:themeColor="text1" w:themeTint="BF"/>
                <w:sz w:val="20"/>
                <w:szCs w:val="20"/>
              </w:rPr>
              <w:t xml:space="preserve"> </w:t>
            </w:r>
            <w:r w:rsidRPr="00D90DD4">
              <w:rPr>
                <w:i/>
                <w:color w:val="767171" w:themeColor="background2" w:themeShade="80"/>
                <w:sz w:val="20"/>
                <w:szCs w:val="20"/>
              </w:rPr>
              <w:t xml:space="preserve">Cai WQ et al., Front Oncol. 2020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19">
              <w:r>
                <w:rPr>
                  <w:sz w:val="20"/>
                  <w:rStyle w:val="Hyperlink"/>
                </w:rPr>
                <w:t xml:space="preserve">32371296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New insights into the pharmacological, immunological, and CAR-T-cell approaches in the treatment of hepatocellular carcinoma.</w:t>
            </w:r>
            <w:r>
              <w:rPr>
                <w:color w:val="404040" w:themeColor="text1" w:themeTint="BF"/>
                <w:sz w:val="20"/>
                <w:szCs w:val="20"/>
              </w:rPr>
              <w:t xml:space="preserve"> </w:t>
            </w:r>
            <w:r w:rsidRPr="00D90DD4">
              <w:rPr>
                <w:i/>
                <w:color w:val="767171" w:themeColor="background2" w:themeShade="80"/>
                <w:sz w:val="20"/>
                <w:szCs w:val="20"/>
              </w:rPr>
              <w:t xml:space="preserve">Dal Bo M et al., Drug Resist Updat. 2020 07</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0">
              <w:r>
                <w:rPr>
                  <w:sz w:val="20"/>
                  <w:rStyle w:val="Hyperlink"/>
                </w:rPr>
                <w:t xml:space="preserve">24094768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monotherapy for previously treated advanced gastric or gastro-oesophageal junction adenocarcinoma (REGARD): an international, randomised, multicentre,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Fuchs CS et al., Lancet. 2014 Jan 04</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1">
              <w:r>
                <w:rPr>
                  <w:sz w:val="20"/>
                  <w:rStyle w:val="Hyperlink"/>
                </w:rPr>
                <w:t xml:space="preserve">25240821</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paclitaxel versus placebo plus paclitaxel in patients with previously treated advanced gastric or gastro-oesophageal junction adenocarcinoma (RAINBOW): a double-blind, randomised phase 3 trial.</w:t>
            </w:r>
            <w:r>
              <w:rPr>
                <w:color w:val="404040" w:themeColor="text1" w:themeTint="BF"/>
                <w:sz w:val="20"/>
                <w:szCs w:val="20"/>
              </w:rPr>
              <w:t xml:space="preserve"> </w:t>
            </w:r>
            <w:r w:rsidRPr="00D90DD4">
              <w:rPr>
                <w:i/>
                <w:color w:val="767171" w:themeColor="background2" w:themeShade="80"/>
                <w:sz w:val="20"/>
                <w:szCs w:val="20"/>
              </w:rPr>
              <w:t xml:space="preserve">Wilke H et al., Lancet Oncol. 2014 Oct</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2">
              <w:r>
                <w:rPr>
                  <w:sz w:val="20"/>
                  <w:rStyle w:val="Hyperlink"/>
                </w:rPr>
                <w:t xml:space="preserve">25877855</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versus placebo in combination with second-line FOLFIRI in patients with metastatic colorectal carcinoma that progressed during or after first-line therapy with bevacizumab, oxaliplatin, and a fluoropyrimidine (RAISE): a randomised, double-blind, multicentre, phase 3 study.</w:t>
            </w:r>
            <w:r>
              <w:rPr>
                <w:color w:val="404040" w:themeColor="text1" w:themeTint="BF"/>
                <w:sz w:val="20"/>
                <w:szCs w:val="20"/>
              </w:rPr>
              <w:t xml:space="preserve"> </w:t>
            </w:r>
            <w:r w:rsidRPr="00D90DD4">
              <w:rPr>
                <w:i/>
                <w:color w:val="767171" w:themeColor="background2" w:themeShade="80"/>
                <w:sz w:val="20"/>
                <w:szCs w:val="20"/>
              </w:rPr>
              <w:t xml:space="preserve">Tabernero J et al., Lancet Oncol. 2015 May</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3">
              <w:r>
                <w:rPr>
                  <w:sz w:val="20"/>
                  <w:rStyle w:val="Hyperlink"/>
                </w:rPr>
                <w:t xml:space="preserve">31591063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Ramucirumab plus erlotinib in patients with untreated, EGFR-mutated, advanced non-small-cell lung cancer (RELAY): a randomised, double-blind, placebo-controlled, phase 3 trial.</w:t>
            </w:r>
            <w:r>
              <w:rPr>
                <w:color w:val="404040" w:themeColor="text1" w:themeTint="BF"/>
                <w:sz w:val="20"/>
                <w:szCs w:val="20"/>
              </w:rPr>
              <w:t xml:space="preserve"> </w:t>
            </w:r>
            <w:r w:rsidRPr="00D90DD4">
              <w:rPr>
                <w:i/>
                <w:color w:val="767171" w:themeColor="background2" w:themeShade="80"/>
                <w:sz w:val="20"/>
                <w:szCs w:val="20"/>
              </w:rPr>
              <w:t xml:space="preserve">Nakagawa K et al., Lancet Oncol. 2019 12</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4">
              <w:r>
                <w:rPr>
                  <w:sz w:val="20"/>
                  <w:rStyle w:val="Hyperlink"/>
                </w:rPr>
                <w:t xml:space="preserve">23803182</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Targeted inhibition of VEGF receptor 2: an update on ramucirumab.</w:t>
            </w:r>
            <w:r>
              <w:rPr>
                <w:color w:val="404040" w:themeColor="text1" w:themeTint="BF"/>
                <w:sz w:val="20"/>
                <w:szCs w:val="20"/>
              </w:rPr>
              <w:t xml:space="preserve"> </w:t>
            </w:r>
            <w:r w:rsidRPr="00D90DD4">
              <w:rPr>
                <w:i/>
                <w:color w:val="767171" w:themeColor="background2" w:themeShade="80"/>
                <w:sz w:val="20"/>
                <w:szCs w:val="20"/>
              </w:rPr>
              <w:t xml:space="preserve">Clarke JM et al., Expert Opin Biol Ther. 2013 Aug</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5">
              <w:r>
                <w:rPr>
                  <w:sz w:val="20"/>
                  <w:rStyle w:val="Hyperlink"/>
                </w:rPr>
                <w:t xml:space="preserve">31564718</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Resistance mechanisms to osimertinib in EGFR-mutated non-small cell lung cancer.</w:t>
            </w:r>
            <w:r>
              <w:rPr>
                <w:color w:val="404040" w:themeColor="text1" w:themeTint="BF"/>
                <w:sz w:val="20"/>
                <w:szCs w:val="20"/>
              </w:rPr>
              <w:t xml:space="preserve"> </w:t>
            </w:r>
            <w:r w:rsidRPr="00D90DD4">
              <w:rPr>
                <w:i/>
                <w:color w:val="767171" w:themeColor="background2" w:themeShade="80"/>
                <w:sz w:val="20"/>
                <w:szCs w:val="20"/>
              </w:rPr>
              <w:t xml:space="preserve">Leonetti A et al., Br J Cancer. 2019 10</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6">
              <w:r>
                <w:rPr>
                  <w:sz w:val="20"/>
                  <w:rStyle w:val="Hyperlink"/>
                </w:rPr>
                <w:t xml:space="preserve">30128066</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C797S Resistance: The Undruggable EGFR Mutation in Non-Small Cell Lung Cancer?</w:t>
            </w:r>
            <w:r>
              <w:rPr>
                <w:color w:val="404040" w:themeColor="text1" w:themeTint="BF"/>
                <w:sz w:val="20"/>
                <w:szCs w:val="20"/>
              </w:rPr>
              <w:t xml:space="preserve"> </w:t>
            </w:r>
            <w:r w:rsidRPr="00D90DD4">
              <w:rPr>
                <w:i/>
                <w:color w:val="767171" w:themeColor="background2" w:themeShade="80"/>
                <w:sz w:val="20"/>
                <w:szCs w:val="20"/>
              </w:rPr>
              <w:t xml:space="preserve">Grabe T et al., ACS Med Chem Lett. 2018 Aug 09</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7">
              <w:r>
                <w:rPr>
                  <w:sz w:val="20"/>
                  <w:rStyle w:val="Hyperlink"/>
                </w:rPr>
                <w:t xml:space="preserve">18089823</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PF00299804, an irreversible pan-ERBB inhibitor, is effective in lung cancer models with EGFR and ERBB2 mutations that are resistant to gefitinib.</w:t>
            </w:r>
            <w:r>
              <w:rPr>
                <w:color w:val="404040" w:themeColor="text1" w:themeTint="BF"/>
                <w:sz w:val="20"/>
                <w:szCs w:val="20"/>
              </w:rPr>
              <w:t xml:space="preserve"> </w:t>
            </w:r>
            <w:r w:rsidRPr="00D90DD4">
              <w:rPr>
                <w:i/>
                <w:color w:val="767171" w:themeColor="background2" w:themeShade="80"/>
                <w:sz w:val="20"/>
                <w:szCs w:val="20"/>
              </w:rPr>
              <w:t xml:space="preserve">Engelman JA et al., Cancer Res. 2007 Dec 15</w:t>
            </w:r>
            <w:r w:rsidRPr="00C239AE">
              <w:rPr>
                <w:color w:val="404040" w:themeColor="text1" w:themeTint="BF"/>
                <w:sz w:val="20"/>
                <w:szCs w:val="20"/>
              </w:rPr>
              <w:t/>
            </w:r>
          </w:p>
        </w:tc>
      </w:tr>
      <w:tr w:rsidR="004474DC" w:rsidRPr="005D7FE8" w14:paraId="4807B750" w14:textId="77777777" w:rsidTr="00545CC8">
        <w:trPr>
          <w:cnfStyle w:val="000000100000" w:firstRow="0" w:lastRow="0" w:firstColumn="0" w:lastColumn="0" w:oddVBand="0" w:evenVBand="0" w:oddHBand="1" w:evenHBand="0" w:firstRowFirstColumn="0" w:firstRowLastColumn="0" w:lastRowFirstColumn="0" w:lastRowLastColumn="0"/>
          <w:cantSplit/>
          <w:trHeight w:val="432"/>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6E1F672A" w14:textId="77777777" w:rsidR="004474DC" w:rsidRPr="00375746" w:rsidRDefault="004474DC" w:rsidP="00545CC8">
            <w:pPr>
              <w:spacing w:before="40"/>
              <w:rPr>
                <w:b w:val="0"/>
                <w:i/>
                <w:color w:val="404040" w:themeColor="text1" w:themeTint="BF"/>
                <w:sz w:val="20"/>
                <w:szCs w:val="20"/>
              </w:rPr>
            </w:pPr>
            <w:r w:rsidRPr="00C239AE">
              <w:rPr>
                <w:b w:val="0"/>
                <w:color w:val="404040" w:themeColor="text1" w:themeTint="BF"/>
                <w:sz w:val="20"/>
                <w:szCs w:val="20"/>
              </w:rPr>
              <w:t/>
            </w:r>
            <w:r>
              <w:rPr>
                <w:b w:val="0"/>
                <w:color w:val="404040" w:themeColor="text1" w:themeTint="BF"/>
                <w:sz w:val="20"/>
                <w:szCs w:val="20"/>
              </w:rPr>
              <w:t/>
            </w:r>
            <w:r w:rsidRPr="00C239AE">
              <w:rPr>
                <w:b w:val="0"/>
                <w:color w:val="404040" w:themeColor="text1" w:themeTint="BF"/>
                <w:sz w:val="20"/>
                <w:szCs w:val="20"/>
              </w:rPr>
              <w:t/>
            </w:r>
            <w:hyperlink r:id="rId128">
              <w:r>
                <w:rPr>
                  <w:sz w:val="20"/>
                  <w:rStyle w:val="Hyperlink"/>
                </w:rPr>
                <w:t xml:space="preserve">12850190</w:t>
              </w:r>
            </w:hyperlink>
            <w:r>
              <w:rPr>
                <w:b w:val="0"/>
                <w:color w:val="404040" w:themeColor="text1" w:themeTint="BF"/>
                <w:sz w:val="20"/>
                <w:szCs w:val="20"/>
              </w:rPr>
              <w:t/>
            </w:r>
            <w:r w:rsidRPr="00061410">
              <w:rPr>
                <w:b w:val="0"/>
                <w:color w:val="404040" w:themeColor="text1" w:themeTint="BF"/>
                <w:sz w:val="20"/>
                <w:szCs w:val="20"/>
              </w:rPr>
              <w:t/>
            </w:r>
          </w:p>
        </w:tc>
        <w:tc>
          <w:tcPr>
            <w:tcW w:w="8550" w:type="dxa"/>
            <w:vAlign w:val="center"/>
          </w:tcPr>
          <w:p w14:paraId="45C59591" w14:textId="77777777" w:rsidR="004474DC" w:rsidRPr="00375746" w:rsidRDefault="004474DC" w:rsidP="00545CC8">
            <w:pPr>
              <w:spacing w:before="40"/>
              <w:cnfStyle w:val="000000100000" w:firstRow="0" w:lastRow="0" w:firstColumn="0" w:lastColumn="0" w:oddVBand="0" w:evenVBand="0" w:oddHBand="1" w:evenHBand="0" w:firstRowFirstColumn="0" w:firstRowLastColumn="0" w:lastRowFirstColumn="0" w:lastRowLastColumn="0"/>
              <w:rPr>
                <w:color w:val="404040" w:themeColor="text1" w:themeTint="BF"/>
                <w:sz w:val="20"/>
                <w:szCs w:val="20"/>
              </w:rPr>
            </w:pPr>
            <w:r w:rsidRPr="00375746">
              <w:rPr>
                <w:color w:val="404040" w:themeColor="text1" w:themeTint="BF"/>
                <w:sz w:val="20"/>
                <w:szCs w:val="20"/>
              </w:rPr>
              <w:t xml:space="preserve">Inhibitors of epidermal-growth-factor receptors: a review of clinical research with a focus on non-small-cell lung cancer.</w:t>
            </w:r>
            <w:r>
              <w:rPr>
                <w:color w:val="404040" w:themeColor="text1" w:themeTint="BF"/>
                <w:sz w:val="20"/>
                <w:szCs w:val="20"/>
              </w:rPr>
              <w:t xml:space="preserve"> </w:t>
            </w:r>
            <w:r w:rsidRPr="00D90DD4">
              <w:rPr>
                <w:i/>
                <w:color w:val="767171" w:themeColor="background2" w:themeShade="80"/>
                <w:sz w:val="20"/>
                <w:szCs w:val="20"/>
              </w:rPr>
              <w:t xml:space="preserve">Sridhar SS et al., Lancet Oncol. 2003 Jul</w:t>
            </w:r>
            <w:r w:rsidRPr="00C239AE">
              <w:rPr>
                <w:color w:val="404040" w:themeColor="text1" w:themeTint="BF"/>
                <w:sz w:val="20"/>
                <w:szCs w:val="20"/>
              </w:rPr>
              <w:t/>
            </w:r>
          </w:p>
        </w:tc>
      </w:tr>
    </w:tbl>
    <w:p w14:paraId="6B105785" w14:textId="77777777" w:rsidR="004474DC" w:rsidRDefault="004474DC" w:rsidP="004474DC">
      <w:pPr>
        <w:spacing w:before="200"/>
        <w:rPr>
          <w:b/>
          <w:bCs/>
          <w:color w:val="0D0D0D" w:themeColor="text1" w:themeTint="F2"/>
          <w:szCs w:val="20"/>
        </w:rPr>
      </w:pPr>
    </w:p>
    <w:p w14:paraId="6CFA72E3" w14:textId="77777777" w:rsidR="004474DC" w:rsidRPr="00F738DD" w:rsidRDefault="004474DC" w:rsidP="004474DC">
      <w:pPr>
        <w:spacing w:before="200"/>
        <w:rPr>
          <w:b/>
          <w:bCs/>
          <w:color w:val="0D0D0D" w:themeColor="text1" w:themeTint="F2"/>
          <w:szCs w:val="20"/>
        </w:rPr>
      </w:pPr>
      <w:r>
        <w:rPr>
          <w:b/>
          <w:bCs/>
          <w:color w:val="0D0D0D" w:themeColor="text1" w:themeTint="F2"/>
          <w:szCs w:val="20"/>
        </w:rPr>
        <w:t/>
      </w:r>
    </w:p>
    <w:p w14:paraId="29A5D451" w14:textId="77777777" w:rsidR="00E539A2" w:rsidRPr="0066645F" w:rsidRDefault="00E539A2" w:rsidP="00CA4974">
      <w:pPr>
        <w:pStyle w:val="Heading2"/>
        <w:spacing w:before="120"/>
        <w:rPr>
          <w:color w:val="7F7F7F" w:themeColor="text1" w:themeTint="80"/>
          <w:szCs w:val="20"/>
        </w:rPr>
      </w:pPr>
    </w:p>
    <w:sectPr w:rsidR="00E539A2" w:rsidRPr="0066645F" w:rsidSect="00881AC3">
      <w:headerReference w:type="default" r:id="rId11"/>
      <w:footerReference w:type="default" r:id="rId12"/>
      <w:pgSz w:w="12240" w:h="15840"/>
      <w:pgMar w:top="720" w:right="720" w:bottom="720" w:left="720" w:header="27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E25EDF" w14:textId="77777777" w:rsidR="00FC4398" w:rsidRDefault="00FC4398" w:rsidP="005E10E2">
      <w:pPr>
        <w:spacing w:after="0" w:line="240" w:lineRule="auto"/>
      </w:pPr>
      <w:r>
        <w:separator/>
      </w:r>
    </w:p>
  </w:endnote>
  <w:endnote w:type="continuationSeparator" w:id="0">
    <w:p w14:paraId="0CE2771C" w14:textId="77777777" w:rsidR="00FC4398" w:rsidRDefault="00FC4398" w:rsidP="005E10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10 Pitch">
    <w:altName w:val="Times New Roman"/>
    <w:charset w:val="01"/>
    <w:family w:val="roman"/>
    <w:pitch w:val="variable"/>
  </w:font>
  <w:font w:name="Lohit Devanagari">
    <w:altName w:val="Times New Roman"/>
    <w:panose1 w:val="00000000000000000000"/>
    <w:charset w:val="00"/>
    <w:family w:val="roman"/>
    <w:notTrueType/>
    <w:pitch w:val="default"/>
  </w:font>
  <w:font w:name="Calibri Light (Heading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single" w:sz="6" w:space="0" w:color="7F7F7F" w:themeColor="text1" w:themeTint="80"/>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0790"/>
    </w:tblGrid>
    <w:tr w:rsidR="000F7A2B" w14:paraId="26003E4F" w14:textId="77777777" w:rsidTr="00E31E5E">
      <w:tc>
        <w:tcPr>
          <w:tcW w:w="10790" w:type="dxa"/>
        </w:tcPr>
        <w:p w14:paraId="789FD01F" w14:textId="77777777" w:rsidR="000F7A2B" w:rsidRPr="00F76C62" w:rsidRDefault="000F7A2B" w:rsidP="00E31E5E">
          <w:pPr>
            <w:pStyle w:val="Footer"/>
            <w:tabs>
              <w:tab w:val="clear" w:pos="9360"/>
              <w:tab w:val="right" w:pos="10800"/>
            </w:tabs>
            <w:spacing w:before="40"/>
            <w:rPr>
              <w:sz w:val="16"/>
            </w:rPr>
          </w:pPr>
          <w:r w:rsidRPr="00F76C62">
            <w:rPr>
              <w:color w:val="767171" w:themeColor="background2" w:themeShade="80"/>
              <w:sz w:val="16"/>
            </w:rPr>
            <w:t xml:space="preserve">Signed Electronically by </w:t>
          </w:r>
          <w:r>
            <w:rPr>
              <w:color w:val="767171" w:themeColor="background2" w:themeShade="80"/>
              <w:sz w:val="16"/>
            </w:rPr>
            <w:t>DRAFT</w:t>
          </w:r>
          <w:r w:rsidRPr="00F76C62">
            <w:rPr>
              <w:color w:val="767171" w:themeColor="background2" w:themeShade="80"/>
              <w:sz w:val="16"/>
            </w:rPr>
            <w:t xml:space="preserve"> | Medical Director: </w:t>
          </w:r>
          <w:r>
            <w:rPr>
              <w:color w:val="767171" w:themeColor="background2" w:themeShade="80"/>
              <w:sz w:val="16"/>
            </w:rPr>
            <w:t>Leonard McCoy, M.D.</w:t>
          </w:r>
          <w:r w:rsidRPr="00F76C62">
            <w:rPr>
              <w:color w:val="767171" w:themeColor="background2" w:themeShade="80"/>
              <w:sz w:val="16"/>
            </w:rPr>
            <w:t xml:space="preserve"> | CLIA Number: </w:t>
          </w:r>
          <w:r>
            <w:rPr>
              <w:color w:val="767171" w:themeColor="background2" w:themeShade="80"/>
              <w:sz w:val="16"/>
            </w:rPr>
            <w:t>1234ABCD</w:t>
          </w:r>
          <w:r w:rsidRPr="00F76C62">
            <w:rPr>
              <w:color w:val="767171" w:themeColor="background2" w:themeShade="80"/>
              <w:sz w:val="16"/>
            </w:rPr>
            <w:t xml:space="preserve"> | </w:t>
          </w:r>
          <w:r>
            <w:rPr>
              <w:color w:val="767171" w:themeColor="background2" w:themeShade="80"/>
              <w:sz w:val="16"/>
            </w:rPr>
            <w:t>(Not Signed Off)</w:t>
          </w:r>
          <w:r w:rsidRPr="00F76C62">
            <w:rPr>
              <w:color w:val="808080" w:themeColor="background1" w:themeShade="80"/>
              <w:sz w:val="16"/>
            </w:rPr>
            <w:tab/>
            <w:t xml:space="preserve">page </w:t>
          </w:r>
          <w:r w:rsidRPr="00F76C62">
            <w:rPr>
              <w:b/>
              <w:bCs/>
              <w:color w:val="808080" w:themeColor="background1" w:themeShade="80"/>
              <w:sz w:val="16"/>
            </w:rPr>
            <w:fldChar w:fldCharType="begin"/>
          </w:r>
          <w:r w:rsidRPr="00F76C62">
            <w:rPr>
              <w:b/>
              <w:bCs/>
              <w:color w:val="808080" w:themeColor="background1" w:themeShade="80"/>
              <w:sz w:val="16"/>
            </w:rPr>
            <w:instrText xml:space="preserve"> PAGE  \* Arabic  \* MERGEFORMAT </w:instrText>
          </w:r>
          <w:r w:rsidRPr="00F76C62">
            <w:rPr>
              <w:b/>
              <w:bCs/>
              <w:color w:val="808080" w:themeColor="background1" w:themeShade="80"/>
              <w:sz w:val="16"/>
            </w:rPr>
            <w:fldChar w:fldCharType="separate"/>
          </w:r>
          <w:r>
            <w:rPr>
              <w:b/>
              <w:bCs/>
              <w:color w:val="808080" w:themeColor="background1" w:themeShade="80"/>
              <w:sz w:val="16"/>
            </w:rPr>
            <w:t>1</w:t>
          </w:r>
          <w:r w:rsidRPr="00F76C62">
            <w:rPr>
              <w:b/>
              <w:bCs/>
              <w:color w:val="808080" w:themeColor="background1" w:themeShade="80"/>
              <w:sz w:val="16"/>
            </w:rPr>
            <w:fldChar w:fldCharType="end"/>
          </w:r>
          <w:r w:rsidRPr="00F76C62">
            <w:rPr>
              <w:color w:val="808080" w:themeColor="background1" w:themeShade="80"/>
              <w:sz w:val="16"/>
            </w:rPr>
            <w:t xml:space="preserve"> of </w:t>
          </w:r>
          <w:r w:rsidRPr="00F76C62">
            <w:rPr>
              <w:b/>
              <w:bCs/>
              <w:color w:val="808080" w:themeColor="background1" w:themeShade="80"/>
              <w:sz w:val="16"/>
            </w:rPr>
            <w:fldChar w:fldCharType="begin"/>
          </w:r>
          <w:r w:rsidRPr="00F76C62">
            <w:rPr>
              <w:b/>
              <w:bCs/>
              <w:color w:val="808080" w:themeColor="background1" w:themeShade="80"/>
              <w:sz w:val="16"/>
            </w:rPr>
            <w:instrText xml:space="preserve"> NUMPAGES  \* Arabic  \* MERGEFORMAT </w:instrText>
          </w:r>
          <w:r w:rsidRPr="00F76C62">
            <w:rPr>
              <w:b/>
              <w:bCs/>
              <w:color w:val="808080" w:themeColor="background1" w:themeShade="80"/>
              <w:sz w:val="16"/>
            </w:rPr>
            <w:fldChar w:fldCharType="separate"/>
          </w:r>
          <w:r>
            <w:rPr>
              <w:b/>
              <w:bCs/>
              <w:color w:val="808080" w:themeColor="background1" w:themeShade="80"/>
              <w:sz w:val="16"/>
            </w:rPr>
            <w:t>3</w:t>
          </w:r>
          <w:r w:rsidRPr="00F76C62">
            <w:rPr>
              <w:b/>
              <w:bCs/>
              <w:color w:val="808080" w:themeColor="background1" w:themeShade="80"/>
              <w:sz w:val="16"/>
            </w:rPr>
            <w:fldChar w:fldCharType="end"/>
          </w:r>
        </w:p>
      </w:tc>
    </w:tr>
  </w:tbl>
  <w:p w14:paraId="726318B7" w14:textId="77777777" w:rsidR="000F7A2B" w:rsidRPr="00F76C62" w:rsidRDefault="000F7A2B" w:rsidP="00C34E4E">
    <w:pPr>
      <w:pStyle w:val="Footer"/>
      <w:tabs>
        <w:tab w:val="clear" w:pos="9360"/>
        <w:tab w:val="right" w:pos="10800"/>
      </w:tabs>
      <w:rPr>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CF1AC5" w14:textId="77777777" w:rsidR="00FC4398" w:rsidRDefault="00FC4398" w:rsidP="005E10E2">
      <w:pPr>
        <w:spacing w:after="0" w:line="240" w:lineRule="auto"/>
      </w:pPr>
      <w:r>
        <w:separator/>
      </w:r>
    </w:p>
  </w:footnote>
  <w:footnote w:type="continuationSeparator" w:id="0">
    <w:p w14:paraId="5FA123D3" w14:textId="77777777" w:rsidR="00FC4398" w:rsidRDefault="00FC4398" w:rsidP="005E10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710" w:type="dxa"/>
      <w:tblBorders>
        <w:top w:val="none" w:sz="0" w:space="0" w:color="auto"/>
        <w:left w:val="none" w:sz="0" w:space="0" w:color="auto"/>
        <w:bottom w:val="single" w:sz="4" w:space="0" w:color="7F7F7F" w:themeColor="text1" w:themeTint="80"/>
        <w:right w:val="none" w:sz="0" w:space="0" w:color="auto"/>
        <w:insideH w:val="none" w:sz="0" w:space="0" w:color="auto"/>
        <w:insideV w:val="none" w:sz="0" w:space="0" w:color="auto"/>
      </w:tblBorders>
      <w:tblLook w:val="04A0" w:firstRow="1" w:lastRow="0" w:firstColumn="1" w:lastColumn="0" w:noHBand="0" w:noVBand="1"/>
    </w:tblPr>
    <w:tblGrid>
      <w:gridCol w:w="3548"/>
      <w:gridCol w:w="2766"/>
      <w:gridCol w:w="1707"/>
      <w:gridCol w:w="2689"/>
    </w:tblGrid>
    <w:tr w:rsidR="000A015C" w14:paraId="3420D5ED" w14:textId="77777777" w:rsidTr="00987F6E">
      <w:trPr>
        <w:trHeight w:val="1006"/>
      </w:trPr>
      <w:tc>
        <w:tcPr>
          <w:tcW w:w="3600" w:type="dxa"/>
          <w:vAlign w:val="bottom"/>
        </w:tcPr>
        <w:p w14:paraId="43472225" w14:textId="77777777" w:rsidR="000A015C" w:rsidRPr="005E10E2" w:rsidRDefault="000A015C" w:rsidP="000A015C">
          <w:pPr>
            <w:pStyle w:val="Header"/>
            <w:tabs>
              <w:tab w:val="clear" w:pos="4680"/>
              <w:tab w:val="clear" w:pos="9360"/>
            </w:tabs>
          </w:pPr>
          <w:r w:rsidRPr="00ED0026">
            <w:rPr>
              <w:noProof/>
            </w:rPr>
            <w:drawing>
              <wp:anchor distT="0" distB="45720" distL="0" distR="0" simplePos="0" relativeHeight="251660288" behindDoc="1" locked="0" layoutInCell="1" allowOverlap="1" wp14:anchorId="5FD26B98" wp14:editId="26768681">
                <wp:simplePos x="0" y="0"/>
                <wp:positionH relativeFrom="column">
                  <wp:posOffset>-14605</wp:posOffset>
                </wp:positionH>
                <wp:positionV relativeFrom="paragraph">
                  <wp:posOffset>357505</wp:posOffset>
                </wp:positionV>
                <wp:extent cx="2051050" cy="436245"/>
                <wp:effectExtent l="0" t="0" r="6350" b="1905"/>
                <wp:wrapTight wrapText="right">
                  <wp:wrapPolygon edited="0">
                    <wp:start x="4815" y="0"/>
                    <wp:lineTo x="3210" y="1886"/>
                    <wp:lineTo x="802" y="11319"/>
                    <wp:lineTo x="802" y="15092"/>
                    <wp:lineTo x="0" y="18865"/>
                    <wp:lineTo x="0" y="20751"/>
                    <wp:lineTo x="21466" y="20751"/>
                    <wp:lineTo x="21466" y="15092"/>
                    <wp:lineTo x="19861" y="15092"/>
                    <wp:lineTo x="21266" y="6603"/>
                    <wp:lineTo x="19661" y="0"/>
                    <wp:lineTo x="5818" y="0"/>
                    <wp:lineTo x="4815" y="0"/>
                  </wp:wrapPolygon>
                </wp:wrapTight>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051050" cy="436245"/>
                        </a:xfrm>
                        <a:prstGeom prst="rect">
                          <a:avLst/>
                        </a:prstGeom>
                      </pic:spPr>
                    </pic:pic>
                  </a:graphicData>
                </a:graphic>
                <wp14:sizeRelH relativeFrom="margin">
                  <wp14:pctWidth>0</wp14:pctWidth>
                </wp14:sizeRelH>
                <wp14:sizeRelV relativeFrom="margin">
                  <wp14:pctHeight>0</wp14:pctHeight>
                </wp14:sizeRelV>
              </wp:anchor>
            </w:drawing>
          </w:r>
        </w:p>
      </w:tc>
      <w:tc>
        <w:tcPr>
          <w:tcW w:w="2070" w:type="dxa"/>
          <w:vAlign w:val="bottom"/>
        </w:tcPr>
        <w:p w14:paraId="1AF5ACC7" w14:textId="43EA0A2B" w:rsidR="000A015C" w:rsidRDefault="000A015C" w:rsidP="000A015C">
          <w:pPr>
            <w:pStyle w:val="Header"/>
            <w:tabs>
              <w:tab w:val="clear" w:pos="4680"/>
              <w:tab w:val="clear" w:pos="9360"/>
            </w:tabs>
            <w:spacing w:line="276" w:lineRule="auto"/>
          </w:pPr>
          <w:r w:rsidRPr="005E10E2">
            <w:rPr>
              <w:color w:val="595959" w:themeColor="text1" w:themeTint="A6"/>
            </w:rPr>
            <w:t>Patient Name</w:t>
          </w:r>
          <w:r w:rsidRPr="005E10E2">
            <w:rPr>
              <w:color w:val="595959" w:themeColor="text1" w:themeTint="A6"/>
            </w:rPr>
            <w:br/>
          </w:r>
          <w:r>
            <w:rPr>
              <w:b/>
            </w:rPr>
            <w:t xml:space="preserve">S2</w:t>
          </w:r>
          <w:proofErr w:type="spellStart"/>
          <w:r>
            <w:rPr>
              <w:b/>
            </w:rPr>
            <w:t/>
          </w:r>
          <w:proofErr w:type="spellEnd"/>
          <w:r>
            <w:rPr>
              <w:b/>
            </w:rPr>
            <w:t/>
          </w:r>
        </w:p>
      </w:tc>
      <w:tc>
        <w:tcPr>
          <w:tcW w:w="1890" w:type="dxa"/>
          <w:vAlign w:val="bottom"/>
        </w:tcPr>
        <w:p w14:paraId="5DF1FEC5" w14:textId="60219CA4" w:rsidR="000A015C" w:rsidRDefault="000A015C" w:rsidP="000A015C">
          <w:pPr>
            <w:pStyle w:val="Header"/>
            <w:tabs>
              <w:tab w:val="clear" w:pos="4680"/>
              <w:tab w:val="clear" w:pos="9360"/>
            </w:tabs>
            <w:spacing w:line="276" w:lineRule="auto"/>
          </w:pPr>
          <w:r>
            <w:rPr>
              <w:color w:val="595959" w:themeColor="text1" w:themeTint="A6"/>
            </w:rPr>
            <w:t>Report Date</w:t>
          </w:r>
          <w:r w:rsidRPr="005E10E2">
            <w:rPr>
              <w:color w:val="595959" w:themeColor="text1" w:themeTint="A6"/>
            </w:rPr>
            <w:br/>
          </w:r>
          <w:r w:rsidRPr="00BE7C4B">
            <w:rPr>
              <w:b/>
            </w:rPr>
            <w:t xml:space="preserve">Rana Smalling</w:t>
          </w:r>
          <w:proofErr w:type="spellStart"/>
          <w:r w:rsidRPr="00BE7C4B">
            <w:rPr>
              <w:b/>
            </w:rPr>
            <w:t/>
          </w:r>
          <w:r>
            <w:rPr>
              <w:b/>
            </w:rPr>
            <w:t/>
          </w:r>
          <w:r w:rsidRPr="00BE7C4B">
            <w:rPr>
              <w:b/>
            </w:rPr>
            <w:t/>
          </w:r>
          <w:proofErr w:type="spellEnd"/>
          <w:r w:rsidRPr="00BE7C4B">
            <w:rPr>
              <w:b/>
            </w:rPr>
            <w:t/>
          </w:r>
        </w:p>
      </w:tc>
      <w:tc>
        <w:tcPr>
          <w:tcW w:w="3150" w:type="dxa"/>
          <w:vAlign w:val="bottom"/>
        </w:tcPr>
        <w:p w14:paraId="27C7B96A" w14:textId="37B48A0A" w:rsidR="000A015C" w:rsidRDefault="000A015C" w:rsidP="000A015C">
          <w:pPr>
            <w:pStyle w:val="Header"/>
            <w:tabs>
              <w:tab w:val="clear" w:pos="4680"/>
              <w:tab w:val="clear" w:pos="9360"/>
            </w:tabs>
            <w:spacing w:line="276" w:lineRule="auto"/>
          </w:pPr>
          <w:r w:rsidRPr="005E10E2">
            <w:rPr>
              <w:color w:val="595959" w:themeColor="text1" w:themeTint="A6"/>
            </w:rPr>
            <w:t>Tumor Type</w:t>
          </w:r>
          <w:r>
            <w:br/>
          </w:r>
          <w:r w:rsidRPr="00BE7C4B">
            <w:rPr>
              <w:b/>
            </w:rPr>
            <w:t xml:space="preserve">NSCLC</w:t>
          </w:r>
          <w:proofErr w:type="spellStart"/>
          <w:r w:rsidRPr="00BE7C4B">
            <w:rPr>
              <w:b/>
            </w:rPr>
            <w:t/>
          </w:r>
          <w:r>
            <w:rPr>
              <w:b/>
            </w:rPr>
            <w:t/>
          </w:r>
          <w:r w:rsidRPr="00BE7C4B">
            <w:rPr>
              <w:b/>
            </w:rPr>
            <w:t/>
          </w:r>
          <w:r>
            <w:rPr>
              <w:b/>
            </w:rPr>
            <w:t/>
          </w:r>
          <w:proofErr w:type="spellEnd"/>
          <w:r w:rsidRPr="00BE7C4B">
            <w:rPr>
              <w:b/>
            </w:rPr>
            <w:t/>
          </w:r>
        </w:p>
      </w:tc>
    </w:tr>
  </w:tbl>
  <w:p w14:paraId="6ABBA456" w14:textId="77777777" w:rsidR="000F7A2B" w:rsidRDefault="000F7A2B" w:rsidP="005E10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3003502"/>
    <w:multiLevelType w:val="hybridMultilevel"/>
    <w:tmpl w:val="44525EEA"/>
    <w:lvl w:ilvl="0" w:tplc="7EE0E502">
      <w:start w:val="2014"/>
      <w:numFmt w:val="bullet"/>
      <w:lvlText w:val=""/>
      <w:lvlJc w:val="left"/>
      <w:pPr>
        <w:ind w:left="405" w:hanging="360"/>
      </w:pPr>
      <w:rPr>
        <w:rFonts w:ascii="Symbol" w:eastAsiaTheme="minorHAnsi" w:hAnsi="Symbol" w:cstheme="minorBidi" w:hint="default"/>
        <w:color w:val="262626" w:themeColor="text1" w:themeTint="D9"/>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num w:numId="1" w16cid:durableId="158182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style="mso-position-vertical-relative:line;mso-width-relative:margin;mso-height-relative:margin" fillcolor="white" strokecolor="none [1612]">
      <v:fill color="white"/>
      <v:stroke color="none [1612]"/>
    </o:shapedefaults>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5E10E2"/>
    <w:rsid w:val="00003ACD"/>
    <w:rsid w:val="00004B20"/>
    <w:rsid w:val="00004C1C"/>
    <w:rsid w:val="000058CD"/>
    <w:rsid w:val="000175DC"/>
    <w:rsid w:val="00020186"/>
    <w:rsid w:val="00022C82"/>
    <w:rsid w:val="00023CAE"/>
    <w:rsid w:val="00023EF1"/>
    <w:rsid w:val="0002622F"/>
    <w:rsid w:val="0002665A"/>
    <w:rsid w:val="00026914"/>
    <w:rsid w:val="00026F51"/>
    <w:rsid w:val="000274CF"/>
    <w:rsid w:val="00027AB4"/>
    <w:rsid w:val="00031088"/>
    <w:rsid w:val="00034DF4"/>
    <w:rsid w:val="0004006A"/>
    <w:rsid w:val="000410AA"/>
    <w:rsid w:val="000410ED"/>
    <w:rsid w:val="000429CB"/>
    <w:rsid w:val="00044A03"/>
    <w:rsid w:val="000454BE"/>
    <w:rsid w:val="00045B2A"/>
    <w:rsid w:val="00045CE6"/>
    <w:rsid w:val="000511D1"/>
    <w:rsid w:val="00051521"/>
    <w:rsid w:val="00053401"/>
    <w:rsid w:val="000538A6"/>
    <w:rsid w:val="000553AA"/>
    <w:rsid w:val="0005790C"/>
    <w:rsid w:val="00057FB2"/>
    <w:rsid w:val="00060160"/>
    <w:rsid w:val="00061410"/>
    <w:rsid w:val="00063954"/>
    <w:rsid w:val="00063F1D"/>
    <w:rsid w:val="000643B0"/>
    <w:rsid w:val="0006449A"/>
    <w:rsid w:val="000649BE"/>
    <w:rsid w:val="00066FEF"/>
    <w:rsid w:val="00071FDF"/>
    <w:rsid w:val="00074C85"/>
    <w:rsid w:val="000768E4"/>
    <w:rsid w:val="000772B4"/>
    <w:rsid w:val="00080238"/>
    <w:rsid w:val="00082D69"/>
    <w:rsid w:val="000861DA"/>
    <w:rsid w:val="000879A8"/>
    <w:rsid w:val="00090D17"/>
    <w:rsid w:val="000950A8"/>
    <w:rsid w:val="00096088"/>
    <w:rsid w:val="000A015C"/>
    <w:rsid w:val="000A0E23"/>
    <w:rsid w:val="000A3AFC"/>
    <w:rsid w:val="000A763F"/>
    <w:rsid w:val="000B0228"/>
    <w:rsid w:val="000B0BCE"/>
    <w:rsid w:val="000B0E8C"/>
    <w:rsid w:val="000B1168"/>
    <w:rsid w:val="000B2B85"/>
    <w:rsid w:val="000B3056"/>
    <w:rsid w:val="000B7A41"/>
    <w:rsid w:val="000C1A9A"/>
    <w:rsid w:val="000C32F7"/>
    <w:rsid w:val="000C3819"/>
    <w:rsid w:val="000C602E"/>
    <w:rsid w:val="000C678D"/>
    <w:rsid w:val="000C6F95"/>
    <w:rsid w:val="000C79F3"/>
    <w:rsid w:val="000D04D7"/>
    <w:rsid w:val="000D0C8C"/>
    <w:rsid w:val="000D1D19"/>
    <w:rsid w:val="000D5139"/>
    <w:rsid w:val="000D7323"/>
    <w:rsid w:val="000E0524"/>
    <w:rsid w:val="000E399D"/>
    <w:rsid w:val="000E5D34"/>
    <w:rsid w:val="000F189F"/>
    <w:rsid w:val="000F1907"/>
    <w:rsid w:val="000F1922"/>
    <w:rsid w:val="000F2A94"/>
    <w:rsid w:val="000F3AF1"/>
    <w:rsid w:val="000F4823"/>
    <w:rsid w:val="000F5727"/>
    <w:rsid w:val="000F5FF8"/>
    <w:rsid w:val="000F65BD"/>
    <w:rsid w:val="000F7A2B"/>
    <w:rsid w:val="000F7EA8"/>
    <w:rsid w:val="00102DF1"/>
    <w:rsid w:val="00102F18"/>
    <w:rsid w:val="00104E4B"/>
    <w:rsid w:val="00112174"/>
    <w:rsid w:val="001128D7"/>
    <w:rsid w:val="001138C5"/>
    <w:rsid w:val="00114EF0"/>
    <w:rsid w:val="00115F6B"/>
    <w:rsid w:val="0011746E"/>
    <w:rsid w:val="00117665"/>
    <w:rsid w:val="001209AB"/>
    <w:rsid w:val="001229D7"/>
    <w:rsid w:val="00131281"/>
    <w:rsid w:val="00131D1E"/>
    <w:rsid w:val="00133737"/>
    <w:rsid w:val="00133E8A"/>
    <w:rsid w:val="001341F6"/>
    <w:rsid w:val="001357C0"/>
    <w:rsid w:val="0013637C"/>
    <w:rsid w:val="0013688A"/>
    <w:rsid w:val="00141094"/>
    <w:rsid w:val="001426AC"/>
    <w:rsid w:val="0014495D"/>
    <w:rsid w:val="00151286"/>
    <w:rsid w:val="001519CC"/>
    <w:rsid w:val="00152904"/>
    <w:rsid w:val="00152CA2"/>
    <w:rsid w:val="00154288"/>
    <w:rsid w:val="00163F4A"/>
    <w:rsid w:val="00170070"/>
    <w:rsid w:val="0017205B"/>
    <w:rsid w:val="001730E9"/>
    <w:rsid w:val="001737D9"/>
    <w:rsid w:val="00174B29"/>
    <w:rsid w:val="00177605"/>
    <w:rsid w:val="00177803"/>
    <w:rsid w:val="001818CA"/>
    <w:rsid w:val="001823E0"/>
    <w:rsid w:val="00183821"/>
    <w:rsid w:val="00184378"/>
    <w:rsid w:val="00185842"/>
    <w:rsid w:val="00185F94"/>
    <w:rsid w:val="00190A94"/>
    <w:rsid w:val="001922F7"/>
    <w:rsid w:val="00193441"/>
    <w:rsid w:val="00195062"/>
    <w:rsid w:val="0019694E"/>
    <w:rsid w:val="00197207"/>
    <w:rsid w:val="001A2FF2"/>
    <w:rsid w:val="001A4506"/>
    <w:rsid w:val="001A477F"/>
    <w:rsid w:val="001A4A6C"/>
    <w:rsid w:val="001A4E23"/>
    <w:rsid w:val="001A651C"/>
    <w:rsid w:val="001A7BEF"/>
    <w:rsid w:val="001B1D51"/>
    <w:rsid w:val="001B1DD4"/>
    <w:rsid w:val="001B7FA4"/>
    <w:rsid w:val="001C2499"/>
    <w:rsid w:val="001C4BA0"/>
    <w:rsid w:val="001C4EEA"/>
    <w:rsid w:val="001C5817"/>
    <w:rsid w:val="001C65D1"/>
    <w:rsid w:val="001D0D25"/>
    <w:rsid w:val="001D3842"/>
    <w:rsid w:val="001D5D05"/>
    <w:rsid w:val="001D6AE1"/>
    <w:rsid w:val="001D6B1C"/>
    <w:rsid w:val="001D71AF"/>
    <w:rsid w:val="001E12AF"/>
    <w:rsid w:val="001E16F1"/>
    <w:rsid w:val="001E3384"/>
    <w:rsid w:val="001E351A"/>
    <w:rsid w:val="001E5FD0"/>
    <w:rsid w:val="001E7687"/>
    <w:rsid w:val="001F0B24"/>
    <w:rsid w:val="001F0D62"/>
    <w:rsid w:val="001F40A0"/>
    <w:rsid w:val="001F58D1"/>
    <w:rsid w:val="001F7B41"/>
    <w:rsid w:val="00201734"/>
    <w:rsid w:val="00202037"/>
    <w:rsid w:val="00203235"/>
    <w:rsid w:val="0020499F"/>
    <w:rsid w:val="002072B3"/>
    <w:rsid w:val="002073B6"/>
    <w:rsid w:val="00211730"/>
    <w:rsid w:val="00211A96"/>
    <w:rsid w:val="0021442D"/>
    <w:rsid w:val="00217D0B"/>
    <w:rsid w:val="00222E1A"/>
    <w:rsid w:val="00223C74"/>
    <w:rsid w:val="002249B1"/>
    <w:rsid w:val="00225250"/>
    <w:rsid w:val="002314A0"/>
    <w:rsid w:val="002324B8"/>
    <w:rsid w:val="002328C3"/>
    <w:rsid w:val="00236AA9"/>
    <w:rsid w:val="00237E46"/>
    <w:rsid w:val="002402FB"/>
    <w:rsid w:val="002407C5"/>
    <w:rsid w:val="00240B6B"/>
    <w:rsid w:val="00241838"/>
    <w:rsid w:val="002421C7"/>
    <w:rsid w:val="002426AA"/>
    <w:rsid w:val="00245C1D"/>
    <w:rsid w:val="00245DA4"/>
    <w:rsid w:val="002472BB"/>
    <w:rsid w:val="00247A46"/>
    <w:rsid w:val="002503AC"/>
    <w:rsid w:val="00252700"/>
    <w:rsid w:val="00252F5D"/>
    <w:rsid w:val="00255994"/>
    <w:rsid w:val="00256A7D"/>
    <w:rsid w:val="00260856"/>
    <w:rsid w:val="00261042"/>
    <w:rsid w:val="00261163"/>
    <w:rsid w:val="0026634B"/>
    <w:rsid w:val="00267DFB"/>
    <w:rsid w:val="0027249B"/>
    <w:rsid w:val="00272CA7"/>
    <w:rsid w:val="002754FD"/>
    <w:rsid w:val="0027624C"/>
    <w:rsid w:val="00277FF3"/>
    <w:rsid w:val="00284A15"/>
    <w:rsid w:val="00285A28"/>
    <w:rsid w:val="00286A8C"/>
    <w:rsid w:val="00287E21"/>
    <w:rsid w:val="0029035D"/>
    <w:rsid w:val="00290785"/>
    <w:rsid w:val="00291A5B"/>
    <w:rsid w:val="0029306D"/>
    <w:rsid w:val="00293BD5"/>
    <w:rsid w:val="002955F8"/>
    <w:rsid w:val="0029646D"/>
    <w:rsid w:val="002969A7"/>
    <w:rsid w:val="002A6011"/>
    <w:rsid w:val="002A6347"/>
    <w:rsid w:val="002A6BD9"/>
    <w:rsid w:val="002A77AF"/>
    <w:rsid w:val="002B0E73"/>
    <w:rsid w:val="002B103B"/>
    <w:rsid w:val="002B15E0"/>
    <w:rsid w:val="002B7FCD"/>
    <w:rsid w:val="002C22CE"/>
    <w:rsid w:val="002C344D"/>
    <w:rsid w:val="002C4B42"/>
    <w:rsid w:val="002C5EEA"/>
    <w:rsid w:val="002C656E"/>
    <w:rsid w:val="002D00A3"/>
    <w:rsid w:val="002D24CF"/>
    <w:rsid w:val="002D2C25"/>
    <w:rsid w:val="002D4DF9"/>
    <w:rsid w:val="002D51EA"/>
    <w:rsid w:val="002D5346"/>
    <w:rsid w:val="002D5B88"/>
    <w:rsid w:val="002E0B50"/>
    <w:rsid w:val="002E14D2"/>
    <w:rsid w:val="002E1866"/>
    <w:rsid w:val="002E2948"/>
    <w:rsid w:val="002E3C35"/>
    <w:rsid w:val="002E542D"/>
    <w:rsid w:val="002E5992"/>
    <w:rsid w:val="002E72DE"/>
    <w:rsid w:val="002F060C"/>
    <w:rsid w:val="002F1447"/>
    <w:rsid w:val="002F2ED5"/>
    <w:rsid w:val="002F3513"/>
    <w:rsid w:val="002F70CC"/>
    <w:rsid w:val="003033F4"/>
    <w:rsid w:val="00303CFE"/>
    <w:rsid w:val="00306182"/>
    <w:rsid w:val="003104FB"/>
    <w:rsid w:val="0031331B"/>
    <w:rsid w:val="00315695"/>
    <w:rsid w:val="00315C8E"/>
    <w:rsid w:val="003205D0"/>
    <w:rsid w:val="003213CD"/>
    <w:rsid w:val="00321B21"/>
    <w:rsid w:val="00325C5A"/>
    <w:rsid w:val="00327AAA"/>
    <w:rsid w:val="003303DE"/>
    <w:rsid w:val="00330F0F"/>
    <w:rsid w:val="00340075"/>
    <w:rsid w:val="00341DD3"/>
    <w:rsid w:val="00344F3A"/>
    <w:rsid w:val="00345C6E"/>
    <w:rsid w:val="00346979"/>
    <w:rsid w:val="00347496"/>
    <w:rsid w:val="00353FF5"/>
    <w:rsid w:val="003546EA"/>
    <w:rsid w:val="00354A16"/>
    <w:rsid w:val="00355DD0"/>
    <w:rsid w:val="00356632"/>
    <w:rsid w:val="00356C89"/>
    <w:rsid w:val="00360D8D"/>
    <w:rsid w:val="00361646"/>
    <w:rsid w:val="00361833"/>
    <w:rsid w:val="0036418D"/>
    <w:rsid w:val="00366B00"/>
    <w:rsid w:val="00367F48"/>
    <w:rsid w:val="00374695"/>
    <w:rsid w:val="00375746"/>
    <w:rsid w:val="00377562"/>
    <w:rsid w:val="00377BB3"/>
    <w:rsid w:val="00380828"/>
    <w:rsid w:val="0038110E"/>
    <w:rsid w:val="00381A9B"/>
    <w:rsid w:val="003824CF"/>
    <w:rsid w:val="003836C2"/>
    <w:rsid w:val="0038443D"/>
    <w:rsid w:val="00384575"/>
    <w:rsid w:val="00385CF1"/>
    <w:rsid w:val="003863FB"/>
    <w:rsid w:val="00386E5F"/>
    <w:rsid w:val="0039020D"/>
    <w:rsid w:val="00392FEC"/>
    <w:rsid w:val="00393F53"/>
    <w:rsid w:val="00394929"/>
    <w:rsid w:val="00395912"/>
    <w:rsid w:val="00397023"/>
    <w:rsid w:val="003A0659"/>
    <w:rsid w:val="003A07AB"/>
    <w:rsid w:val="003A4536"/>
    <w:rsid w:val="003A475E"/>
    <w:rsid w:val="003B09EE"/>
    <w:rsid w:val="003B4189"/>
    <w:rsid w:val="003B4CC9"/>
    <w:rsid w:val="003B593C"/>
    <w:rsid w:val="003B5E31"/>
    <w:rsid w:val="003B7373"/>
    <w:rsid w:val="003C4110"/>
    <w:rsid w:val="003C4563"/>
    <w:rsid w:val="003C4975"/>
    <w:rsid w:val="003D030E"/>
    <w:rsid w:val="003D0CE2"/>
    <w:rsid w:val="003D1D91"/>
    <w:rsid w:val="003E16EF"/>
    <w:rsid w:val="003E4CAF"/>
    <w:rsid w:val="003F2741"/>
    <w:rsid w:val="003F3EDB"/>
    <w:rsid w:val="003F654A"/>
    <w:rsid w:val="003F74E6"/>
    <w:rsid w:val="003F7FEF"/>
    <w:rsid w:val="0040430F"/>
    <w:rsid w:val="0040469A"/>
    <w:rsid w:val="00404986"/>
    <w:rsid w:val="004056ED"/>
    <w:rsid w:val="00406457"/>
    <w:rsid w:val="00406B22"/>
    <w:rsid w:val="00410608"/>
    <w:rsid w:val="0041343F"/>
    <w:rsid w:val="00413B6B"/>
    <w:rsid w:val="00414384"/>
    <w:rsid w:val="00416FD1"/>
    <w:rsid w:val="004173D6"/>
    <w:rsid w:val="00422C8E"/>
    <w:rsid w:val="0042345D"/>
    <w:rsid w:val="00423674"/>
    <w:rsid w:val="004236E8"/>
    <w:rsid w:val="00424A6B"/>
    <w:rsid w:val="00425E04"/>
    <w:rsid w:val="004279D3"/>
    <w:rsid w:val="00427A4C"/>
    <w:rsid w:val="00430808"/>
    <w:rsid w:val="00433B10"/>
    <w:rsid w:val="004341D7"/>
    <w:rsid w:val="0043467F"/>
    <w:rsid w:val="004348F6"/>
    <w:rsid w:val="00434B18"/>
    <w:rsid w:val="00436394"/>
    <w:rsid w:val="004369D0"/>
    <w:rsid w:val="004372A6"/>
    <w:rsid w:val="00440710"/>
    <w:rsid w:val="00441932"/>
    <w:rsid w:val="00441A2B"/>
    <w:rsid w:val="00445616"/>
    <w:rsid w:val="004474DC"/>
    <w:rsid w:val="00450064"/>
    <w:rsid w:val="00451BDF"/>
    <w:rsid w:val="004521BA"/>
    <w:rsid w:val="00453925"/>
    <w:rsid w:val="0045519C"/>
    <w:rsid w:val="004564F2"/>
    <w:rsid w:val="004640A6"/>
    <w:rsid w:val="004645C1"/>
    <w:rsid w:val="004665FC"/>
    <w:rsid w:val="00467598"/>
    <w:rsid w:val="004677CD"/>
    <w:rsid w:val="0046789D"/>
    <w:rsid w:val="00467DA1"/>
    <w:rsid w:val="00467ED5"/>
    <w:rsid w:val="00470FDC"/>
    <w:rsid w:val="00471E32"/>
    <w:rsid w:val="004722BC"/>
    <w:rsid w:val="00472FF4"/>
    <w:rsid w:val="00473BD6"/>
    <w:rsid w:val="00474D05"/>
    <w:rsid w:val="00477CE0"/>
    <w:rsid w:val="00477F85"/>
    <w:rsid w:val="00480585"/>
    <w:rsid w:val="00484214"/>
    <w:rsid w:val="004856FF"/>
    <w:rsid w:val="004904AB"/>
    <w:rsid w:val="00492F4A"/>
    <w:rsid w:val="00494C10"/>
    <w:rsid w:val="00496263"/>
    <w:rsid w:val="00497A85"/>
    <w:rsid w:val="004A0136"/>
    <w:rsid w:val="004A15E4"/>
    <w:rsid w:val="004A1856"/>
    <w:rsid w:val="004B05DE"/>
    <w:rsid w:val="004B31D1"/>
    <w:rsid w:val="004B7F27"/>
    <w:rsid w:val="004C1253"/>
    <w:rsid w:val="004C17D9"/>
    <w:rsid w:val="004C25B9"/>
    <w:rsid w:val="004C2B74"/>
    <w:rsid w:val="004C343C"/>
    <w:rsid w:val="004C4098"/>
    <w:rsid w:val="004C4F2F"/>
    <w:rsid w:val="004C79CF"/>
    <w:rsid w:val="004D047C"/>
    <w:rsid w:val="004D1572"/>
    <w:rsid w:val="004D1D8D"/>
    <w:rsid w:val="004D225C"/>
    <w:rsid w:val="004D3672"/>
    <w:rsid w:val="004D3D11"/>
    <w:rsid w:val="004D4178"/>
    <w:rsid w:val="004D65A7"/>
    <w:rsid w:val="004E14E2"/>
    <w:rsid w:val="004E1AA3"/>
    <w:rsid w:val="004E2603"/>
    <w:rsid w:val="004F209A"/>
    <w:rsid w:val="004F44CC"/>
    <w:rsid w:val="004F5B84"/>
    <w:rsid w:val="004F7FFD"/>
    <w:rsid w:val="005002CE"/>
    <w:rsid w:val="00503CF4"/>
    <w:rsid w:val="005044F3"/>
    <w:rsid w:val="005053FC"/>
    <w:rsid w:val="005061E8"/>
    <w:rsid w:val="00506F48"/>
    <w:rsid w:val="00507076"/>
    <w:rsid w:val="00511DAC"/>
    <w:rsid w:val="0051214A"/>
    <w:rsid w:val="00512425"/>
    <w:rsid w:val="00513018"/>
    <w:rsid w:val="0051469C"/>
    <w:rsid w:val="00514E02"/>
    <w:rsid w:val="00514F8B"/>
    <w:rsid w:val="0051635A"/>
    <w:rsid w:val="00516ED5"/>
    <w:rsid w:val="005206A8"/>
    <w:rsid w:val="005214F3"/>
    <w:rsid w:val="005217FE"/>
    <w:rsid w:val="00521E14"/>
    <w:rsid w:val="005301AB"/>
    <w:rsid w:val="00530776"/>
    <w:rsid w:val="00530FA7"/>
    <w:rsid w:val="00531402"/>
    <w:rsid w:val="005317AA"/>
    <w:rsid w:val="00533B57"/>
    <w:rsid w:val="00534004"/>
    <w:rsid w:val="00535F5F"/>
    <w:rsid w:val="00541695"/>
    <w:rsid w:val="0054193E"/>
    <w:rsid w:val="00542EED"/>
    <w:rsid w:val="00543615"/>
    <w:rsid w:val="00547EA9"/>
    <w:rsid w:val="0055310C"/>
    <w:rsid w:val="00554706"/>
    <w:rsid w:val="005554C6"/>
    <w:rsid w:val="00556161"/>
    <w:rsid w:val="00557A36"/>
    <w:rsid w:val="00561915"/>
    <w:rsid w:val="00562F23"/>
    <w:rsid w:val="005636CB"/>
    <w:rsid w:val="005642B2"/>
    <w:rsid w:val="005651DB"/>
    <w:rsid w:val="00565655"/>
    <w:rsid w:val="00566B36"/>
    <w:rsid w:val="005675C7"/>
    <w:rsid w:val="00567A7A"/>
    <w:rsid w:val="00571755"/>
    <w:rsid w:val="005723B0"/>
    <w:rsid w:val="00572741"/>
    <w:rsid w:val="00574216"/>
    <w:rsid w:val="005748A4"/>
    <w:rsid w:val="00574BEB"/>
    <w:rsid w:val="005762C7"/>
    <w:rsid w:val="005771F0"/>
    <w:rsid w:val="005775CC"/>
    <w:rsid w:val="00580DF3"/>
    <w:rsid w:val="00581470"/>
    <w:rsid w:val="00582BD7"/>
    <w:rsid w:val="00586EF0"/>
    <w:rsid w:val="0059000E"/>
    <w:rsid w:val="00590122"/>
    <w:rsid w:val="00590FED"/>
    <w:rsid w:val="0059124B"/>
    <w:rsid w:val="005919E2"/>
    <w:rsid w:val="0059311D"/>
    <w:rsid w:val="00593A5F"/>
    <w:rsid w:val="00594EDB"/>
    <w:rsid w:val="005A0FA8"/>
    <w:rsid w:val="005A2537"/>
    <w:rsid w:val="005A5BEE"/>
    <w:rsid w:val="005A642A"/>
    <w:rsid w:val="005A6E34"/>
    <w:rsid w:val="005B0DB5"/>
    <w:rsid w:val="005B46B6"/>
    <w:rsid w:val="005B5AC5"/>
    <w:rsid w:val="005B6869"/>
    <w:rsid w:val="005B70C4"/>
    <w:rsid w:val="005B7EE5"/>
    <w:rsid w:val="005C562F"/>
    <w:rsid w:val="005C6E5A"/>
    <w:rsid w:val="005C709B"/>
    <w:rsid w:val="005D12A5"/>
    <w:rsid w:val="005D3694"/>
    <w:rsid w:val="005D524D"/>
    <w:rsid w:val="005D572C"/>
    <w:rsid w:val="005D5C5C"/>
    <w:rsid w:val="005D7FE8"/>
    <w:rsid w:val="005E10E2"/>
    <w:rsid w:val="005E1A8D"/>
    <w:rsid w:val="005E1D45"/>
    <w:rsid w:val="005F0B7A"/>
    <w:rsid w:val="005F2DFC"/>
    <w:rsid w:val="005F3CF2"/>
    <w:rsid w:val="005F538A"/>
    <w:rsid w:val="005F6267"/>
    <w:rsid w:val="005F747F"/>
    <w:rsid w:val="005F7EBB"/>
    <w:rsid w:val="006011E3"/>
    <w:rsid w:val="00604DB1"/>
    <w:rsid w:val="006075C2"/>
    <w:rsid w:val="00607D2F"/>
    <w:rsid w:val="00611FD3"/>
    <w:rsid w:val="00612AE0"/>
    <w:rsid w:val="00615F6F"/>
    <w:rsid w:val="00621147"/>
    <w:rsid w:val="0062147C"/>
    <w:rsid w:val="00622910"/>
    <w:rsid w:val="00625BF9"/>
    <w:rsid w:val="00626364"/>
    <w:rsid w:val="00627582"/>
    <w:rsid w:val="00630A62"/>
    <w:rsid w:val="0063192E"/>
    <w:rsid w:val="00635960"/>
    <w:rsid w:val="00636A98"/>
    <w:rsid w:val="006412B1"/>
    <w:rsid w:val="006455E9"/>
    <w:rsid w:val="0064700C"/>
    <w:rsid w:val="006478F9"/>
    <w:rsid w:val="00647C0A"/>
    <w:rsid w:val="006556CC"/>
    <w:rsid w:val="00657899"/>
    <w:rsid w:val="00660DED"/>
    <w:rsid w:val="0066350F"/>
    <w:rsid w:val="00664163"/>
    <w:rsid w:val="00665ADC"/>
    <w:rsid w:val="00665B29"/>
    <w:rsid w:val="00665CE6"/>
    <w:rsid w:val="0066645F"/>
    <w:rsid w:val="00670254"/>
    <w:rsid w:val="0067103A"/>
    <w:rsid w:val="00671F9F"/>
    <w:rsid w:val="00674222"/>
    <w:rsid w:val="00675D90"/>
    <w:rsid w:val="00676AF6"/>
    <w:rsid w:val="00677AA6"/>
    <w:rsid w:val="006803C9"/>
    <w:rsid w:val="006807A1"/>
    <w:rsid w:val="00682082"/>
    <w:rsid w:val="006835A4"/>
    <w:rsid w:val="00684FCB"/>
    <w:rsid w:val="00687647"/>
    <w:rsid w:val="006912F8"/>
    <w:rsid w:val="00693E32"/>
    <w:rsid w:val="00694F76"/>
    <w:rsid w:val="00695D10"/>
    <w:rsid w:val="006A4661"/>
    <w:rsid w:val="006A4B30"/>
    <w:rsid w:val="006B0186"/>
    <w:rsid w:val="006B09EA"/>
    <w:rsid w:val="006B146F"/>
    <w:rsid w:val="006B4BC9"/>
    <w:rsid w:val="006B4E37"/>
    <w:rsid w:val="006B4F02"/>
    <w:rsid w:val="006B59AF"/>
    <w:rsid w:val="006B5DA4"/>
    <w:rsid w:val="006B6361"/>
    <w:rsid w:val="006C2D5C"/>
    <w:rsid w:val="006C581E"/>
    <w:rsid w:val="006C5B38"/>
    <w:rsid w:val="006C69E2"/>
    <w:rsid w:val="006D09C2"/>
    <w:rsid w:val="006D0A33"/>
    <w:rsid w:val="006D132B"/>
    <w:rsid w:val="006D18B7"/>
    <w:rsid w:val="006D3DBF"/>
    <w:rsid w:val="006D3F97"/>
    <w:rsid w:val="006D53B1"/>
    <w:rsid w:val="006E0B99"/>
    <w:rsid w:val="006E1AE6"/>
    <w:rsid w:val="006E1EDA"/>
    <w:rsid w:val="006E20D8"/>
    <w:rsid w:val="006E37F7"/>
    <w:rsid w:val="006E5D28"/>
    <w:rsid w:val="006E76A7"/>
    <w:rsid w:val="006E7EC2"/>
    <w:rsid w:val="006F118E"/>
    <w:rsid w:val="006F5258"/>
    <w:rsid w:val="006F69A3"/>
    <w:rsid w:val="006F77A6"/>
    <w:rsid w:val="00700B08"/>
    <w:rsid w:val="007019AD"/>
    <w:rsid w:val="00702152"/>
    <w:rsid w:val="0070246F"/>
    <w:rsid w:val="00702929"/>
    <w:rsid w:val="00703AE5"/>
    <w:rsid w:val="00703E28"/>
    <w:rsid w:val="00706D14"/>
    <w:rsid w:val="0070742C"/>
    <w:rsid w:val="00711449"/>
    <w:rsid w:val="0071181B"/>
    <w:rsid w:val="00713154"/>
    <w:rsid w:val="00713C5B"/>
    <w:rsid w:val="00713D8B"/>
    <w:rsid w:val="0071559D"/>
    <w:rsid w:val="00716A79"/>
    <w:rsid w:val="00716BF3"/>
    <w:rsid w:val="00716D06"/>
    <w:rsid w:val="00716D0E"/>
    <w:rsid w:val="00721703"/>
    <w:rsid w:val="007219A6"/>
    <w:rsid w:val="00721E53"/>
    <w:rsid w:val="00722205"/>
    <w:rsid w:val="00724573"/>
    <w:rsid w:val="007246C7"/>
    <w:rsid w:val="007250C0"/>
    <w:rsid w:val="00725748"/>
    <w:rsid w:val="00725A82"/>
    <w:rsid w:val="007328D0"/>
    <w:rsid w:val="007328EF"/>
    <w:rsid w:val="00732D37"/>
    <w:rsid w:val="007333D0"/>
    <w:rsid w:val="00740EAA"/>
    <w:rsid w:val="007440F8"/>
    <w:rsid w:val="007453B5"/>
    <w:rsid w:val="007454A7"/>
    <w:rsid w:val="00745C6E"/>
    <w:rsid w:val="00746075"/>
    <w:rsid w:val="007507BD"/>
    <w:rsid w:val="0075111E"/>
    <w:rsid w:val="00754859"/>
    <w:rsid w:val="0075576E"/>
    <w:rsid w:val="00755B21"/>
    <w:rsid w:val="00760A30"/>
    <w:rsid w:val="00761A06"/>
    <w:rsid w:val="0076250F"/>
    <w:rsid w:val="007629A8"/>
    <w:rsid w:val="00762FF8"/>
    <w:rsid w:val="00763550"/>
    <w:rsid w:val="007649EF"/>
    <w:rsid w:val="00766119"/>
    <w:rsid w:val="007667F0"/>
    <w:rsid w:val="00766B2E"/>
    <w:rsid w:val="0077028A"/>
    <w:rsid w:val="00770DD2"/>
    <w:rsid w:val="00770F25"/>
    <w:rsid w:val="007727B5"/>
    <w:rsid w:val="00773551"/>
    <w:rsid w:val="00773565"/>
    <w:rsid w:val="007738AF"/>
    <w:rsid w:val="00775528"/>
    <w:rsid w:val="00775884"/>
    <w:rsid w:val="00776763"/>
    <w:rsid w:val="0077690D"/>
    <w:rsid w:val="00790B9A"/>
    <w:rsid w:val="00791269"/>
    <w:rsid w:val="00791F3E"/>
    <w:rsid w:val="00792118"/>
    <w:rsid w:val="007949D1"/>
    <w:rsid w:val="00796673"/>
    <w:rsid w:val="007A59F9"/>
    <w:rsid w:val="007A6DF4"/>
    <w:rsid w:val="007B21E5"/>
    <w:rsid w:val="007B565E"/>
    <w:rsid w:val="007C03E2"/>
    <w:rsid w:val="007C0E9F"/>
    <w:rsid w:val="007C13BA"/>
    <w:rsid w:val="007C13FA"/>
    <w:rsid w:val="007C4A5A"/>
    <w:rsid w:val="007C4D2F"/>
    <w:rsid w:val="007C76FF"/>
    <w:rsid w:val="007C7D90"/>
    <w:rsid w:val="007D0337"/>
    <w:rsid w:val="007D0415"/>
    <w:rsid w:val="007D2FC3"/>
    <w:rsid w:val="007D68D0"/>
    <w:rsid w:val="007D725F"/>
    <w:rsid w:val="007D7C54"/>
    <w:rsid w:val="007E017D"/>
    <w:rsid w:val="007E025C"/>
    <w:rsid w:val="007E2058"/>
    <w:rsid w:val="007E342F"/>
    <w:rsid w:val="007E4FDC"/>
    <w:rsid w:val="007E500E"/>
    <w:rsid w:val="007E59C0"/>
    <w:rsid w:val="007E5AA9"/>
    <w:rsid w:val="007E6DA6"/>
    <w:rsid w:val="007E7AB3"/>
    <w:rsid w:val="007F1E51"/>
    <w:rsid w:val="007F2307"/>
    <w:rsid w:val="007F303D"/>
    <w:rsid w:val="007F4D25"/>
    <w:rsid w:val="007F4DB8"/>
    <w:rsid w:val="007F740A"/>
    <w:rsid w:val="0080137A"/>
    <w:rsid w:val="008022AD"/>
    <w:rsid w:val="008032A8"/>
    <w:rsid w:val="00806D19"/>
    <w:rsid w:val="008077E0"/>
    <w:rsid w:val="00813AA2"/>
    <w:rsid w:val="00813D23"/>
    <w:rsid w:val="0081406E"/>
    <w:rsid w:val="00815455"/>
    <w:rsid w:val="0082121C"/>
    <w:rsid w:val="00825595"/>
    <w:rsid w:val="00825845"/>
    <w:rsid w:val="008274DD"/>
    <w:rsid w:val="008302B5"/>
    <w:rsid w:val="008312BB"/>
    <w:rsid w:val="00831A7F"/>
    <w:rsid w:val="00831EAE"/>
    <w:rsid w:val="00833FFD"/>
    <w:rsid w:val="00835826"/>
    <w:rsid w:val="00835CC7"/>
    <w:rsid w:val="0083643A"/>
    <w:rsid w:val="008403B5"/>
    <w:rsid w:val="00840BE3"/>
    <w:rsid w:val="0084380E"/>
    <w:rsid w:val="00844482"/>
    <w:rsid w:val="008448AF"/>
    <w:rsid w:val="00844E72"/>
    <w:rsid w:val="00847D92"/>
    <w:rsid w:val="0085229C"/>
    <w:rsid w:val="00853B9B"/>
    <w:rsid w:val="0085409E"/>
    <w:rsid w:val="00855BDD"/>
    <w:rsid w:val="00856A77"/>
    <w:rsid w:val="00861B32"/>
    <w:rsid w:val="008636B9"/>
    <w:rsid w:val="00864D87"/>
    <w:rsid w:val="00865339"/>
    <w:rsid w:val="00866162"/>
    <w:rsid w:val="00870B31"/>
    <w:rsid w:val="00871002"/>
    <w:rsid w:val="00871629"/>
    <w:rsid w:val="00871982"/>
    <w:rsid w:val="008745DD"/>
    <w:rsid w:val="00874FD9"/>
    <w:rsid w:val="00877F5D"/>
    <w:rsid w:val="00880ECB"/>
    <w:rsid w:val="008811BD"/>
    <w:rsid w:val="0088194C"/>
    <w:rsid w:val="00881AC3"/>
    <w:rsid w:val="00882CB9"/>
    <w:rsid w:val="008831A8"/>
    <w:rsid w:val="0088516F"/>
    <w:rsid w:val="008854F1"/>
    <w:rsid w:val="008869B1"/>
    <w:rsid w:val="00892E22"/>
    <w:rsid w:val="00892F3C"/>
    <w:rsid w:val="00893979"/>
    <w:rsid w:val="00896234"/>
    <w:rsid w:val="00897B24"/>
    <w:rsid w:val="008A07B7"/>
    <w:rsid w:val="008A3EE5"/>
    <w:rsid w:val="008A4872"/>
    <w:rsid w:val="008B115A"/>
    <w:rsid w:val="008B4C6C"/>
    <w:rsid w:val="008C006D"/>
    <w:rsid w:val="008C14C6"/>
    <w:rsid w:val="008C1822"/>
    <w:rsid w:val="008C31E5"/>
    <w:rsid w:val="008C4289"/>
    <w:rsid w:val="008C5723"/>
    <w:rsid w:val="008C5E41"/>
    <w:rsid w:val="008C63DA"/>
    <w:rsid w:val="008C7C06"/>
    <w:rsid w:val="008D31A2"/>
    <w:rsid w:val="008D3845"/>
    <w:rsid w:val="008D5F35"/>
    <w:rsid w:val="008D605B"/>
    <w:rsid w:val="008D7D79"/>
    <w:rsid w:val="008E1095"/>
    <w:rsid w:val="008E2867"/>
    <w:rsid w:val="008E7852"/>
    <w:rsid w:val="008F044D"/>
    <w:rsid w:val="008F0A1B"/>
    <w:rsid w:val="008F12F8"/>
    <w:rsid w:val="008F4954"/>
    <w:rsid w:val="008F54EB"/>
    <w:rsid w:val="008F5EF3"/>
    <w:rsid w:val="008F7B83"/>
    <w:rsid w:val="009009EF"/>
    <w:rsid w:val="009011BC"/>
    <w:rsid w:val="00901D57"/>
    <w:rsid w:val="00902F57"/>
    <w:rsid w:val="009032B7"/>
    <w:rsid w:val="00903EEC"/>
    <w:rsid w:val="00906CB9"/>
    <w:rsid w:val="00914C43"/>
    <w:rsid w:val="009212F4"/>
    <w:rsid w:val="009220F5"/>
    <w:rsid w:val="00922DF2"/>
    <w:rsid w:val="00925535"/>
    <w:rsid w:val="009310C5"/>
    <w:rsid w:val="00932F1D"/>
    <w:rsid w:val="00934EE6"/>
    <w:rsid w:val="00936A8A"/>
    <w:rsid w:val="0093769D"/>
    <w:rsid w:val="00937EF6"/>
    <w:rsid w:val="009406D4"/>
    <w:rsid w:val="00941237"/>
    <w:rsid w:val="0094243A"/>
    <w:rsid w:val="009430C8"/>
    <w:rsid w:val="00946AEA"/>
    <w:rsid w:val="009475BA"/>
    <w:rsid w:val="00950C2B"/>
    <w:rsid w:val="0095201A"/>
    <w:rsid w:val="00952107"/>
    <w:rsid w:val="0095299F"/>
    <w:rsid w:val="00953948"/>
    <w:rsid w:val="00954647"/>
    <w:rsid w:val="00955897"/>
    <w:rsid w:val="00957167"/>
    <w:rsid w:val="009579D1"/>
    <w:rsid w:val="00957C0D"/>
    <w:rsid w:val="00960C04"/>
    <w:rsid w:val="00962B40"/>
    <w:rsid w:val="009632FD"/>
    <w:rsid w:val="009650D4"/>
    <w:rsid w:val="00966A3B"/>
    <w:rsid w:val="00972A85"/>
    <w:rsid w:val="00973E4E"/>
    <w:rsid w:val="00974218"/>
    <w:rsid w:val="00974465"/>
    <w:rsid w:val="009747DB"/>
    <w:rsid w:val="00975DC2"/>
    <w:rsid w:val="00976582"/>
    <w:rsid w:val="009815AB"/>
    <w:rsid w:val="00981CD2"/>
    <w:rsid w:val="009844DF"/>
    <w:rsid w:val="009855B6"/>
    <w:rsid w:val="00987F6E"/>
    <w:rsid w:val="009903AD"/>
    <w:rsid w:val="00991229"/>
    <w:rsid w:val="00991469"/>
    <w:rsid w:val="009926D7"/>
    <w:rsid w:val="00992C40"/>
    <w:rsid w:val="00993FA0"/>
    <w:rsid w:val="0099442F"/>
    <w:rsid w:val="009949FB"/>
    <w:rsid w:val="009A092E"/>
    <w:rsid w:val="009A23D2"/>
    <w:rsid w:val="009A258D"/>
    <w:rsid w:val="009A620C"/>
    <w:rsid w:val="009B1D48"/>
    <w:rsid w:val="009B302C"/>
    <w:rsid w:val="009B35A6"/>
    <w:rsid w:val="009B5A3C"/>
    <w:rsid w:val="009B7112"/>
    <w:rsid w:val="009C0D25"/>
    <w:rsid w:val="009C12E8"/>
    <w:rsid w:val="009C1D2C"/>
    <w:rsid w:val="009C2009"/>
    <w:rsid w:val="009C2C3A"/>
    <w:rsid w:val="009C3F9A"/>
    <w:rsid w:val="009C400B"/>
    <w:rsid w:val="009C7A2E"/>
    <w:rsid w:val="009C7FF2"/>
    <w:rsid w:val="009D0C29"/>
    <w:rsid w:val="009D2BBC"/>
    <w:rsid w:val="009D40E5"/>
    <w:rsid w:val="009E43CB"/>
    <w:rsid w:val="009E4C0E"/>
    <w:rsid w:val="009E6AB3"/>
    <w:rsid w:val="009E6C21"/>
    <w:rsid w:val="009E7A5C"/>
    <w:rsid w:val="009F0842"/>
    <w:rsid w:val="009F1060"/>
    <w:rsid w:val="009F2094"/>
    <w:rsid w:val="009F242D"/>
    <w:rsid w:val="009F50D7"/>
    <w:rsid w:val="009F5ACF"/>
    <w:rsid w:val="00A017F9"/>
    <w:rsid w:val="00A024CE"/>
    <w:rsid w:val="00A04D59"/>
    <w:rsid w:val="00A0526D"/>
    <w:rsid w:val="00A05501"/>
    <w:rsid w:val="00A067C7"/>
    <w:rsid w:val="00A14761"/>
    <w:rsid w:val="00A14883"/>
    <w:rsid w:val="00A14DE3"/>
    <w:rsid w:val="00A15020"/>
    <w:rsid w:val="00A15D9E"/>
    <w:rsid w:val="00A16042"/>
    <w:rsid w:val="00A20E5C"/>
    <w:rsid w:val="00A2125A"/>
    <w:rsid w:val="00A21B37"/>
    <w:rsid w:val="00A222EF"/>
    <w:rsid w:val="00A22E23"/>
    <w:rsid w:val="00A240EC"/>
    <w:rsid w:val="00A24FFD"/>
    <w:rsid w:val="00A26C4B"/>
    <w:rsid w:val="00A27014"/>
    <w:rsid w:val="00A318F7"/>
    <w:rsid w:val="00A323B1"/>
    <w:rsid w:val="00A335D8"/>
    <w:rsid w:val="00A33818"/>
    <w:rsid w:val="00A346C3"/>
    <w:rsid w:val="00A36092"/>
    <w:rsid w:val="00A36AE2"/>
    <w:rsid w:val="00A36D3A"/>
    <w:rsid w:val="00A40451"/>
    <w:rsid w:val="00A41B9C"/>
    <w:rsid w:val="00A42A63"/>
    <w:rsid w:val="00A43826"/>
    <w:rsid w:val="00A452CE"/>
    <w:rsid w:val="00A45A3C"/>
    <w:rsid w:val="00A47DF7"/>
    <w:rsid w:val="00A50BC5"/>
    <w:rsid w:val="00A51967"/>
    <w:rsid w:val="00A54188"/>
    <w:rsid w:val="00A6072A"/>
    <w:rsid w:val="00A60995"/>
    <w:rsid w:val="00A60EC5"/>
    <w:rsid w:val="00A61E97"/>
    <w:rsid w:val="00A6457D"/>
    <w:rsid w:val="00A70523"/>
    <w:rsid w:val="00A70EF0"/>
    <w:rsid w:val="00A71274"/>
    <w:rsid w:val="00A7296D"/>
    <w:rsid w:val="00A72ABB"/>
    <w:rsid w:val="00A73983"/>
    <w:rsid w:val="00A765A6"/>
    <w:rsid w:val="00A76F49"/>
    <w:rsid w:val="00A802C0"/>
    <w:rsid w:val="00A820FA"/>
    <w:rsid w:val="00A82666"/>
    <w:rsid w:val="00A82CEF"/>
    <w:rsid w:val="00A841D5"/>
    <w:rsid w:val="00A87EB5"/>
    <w:rsid w:val="00A90721"/>
    <w:rsid w:val="00A91752"/>
    <w:rsid w:val="00A926FB"/>
    <w:rsid w:val="00A93DF0"/>
    <w:rsid w:val="00A94D12"/>
    <w:rsid w:val="00A9523A"/>
    <w:rsid w:val="00A9602B"/>
    <w:rsid w:val="00A9615A"/>
    <w:rsid w:val="00A961AF"/>
    <w:rsid w:val="00A96668"/>
    <w:rsid w:val="00A972C8"/>
    <w:rsid w:val="00A9733B"/>
    <w:rsid w:val="00AA076F"/>
    <w:rsid w:val="00AA16FB"/>
    <w:rsid w:val="00AA3DF6"/>
    <w:rsid w:val="00AA6494"/>
    <w:rsid w:val="00AA71F3"/>
    <w:rsid w:val="00AB10E8"/>
    <w:rsid w:val="00AB5179"/>
    <w:rsid w:val="00AB7B9B"/>
    <w:rsid w:val="00AC03B7"/>
    <w:rsid w:val="00AC0C14"/>
    <w:rsid w:val="00AC18B1"/>
    <w:rsid w:val="00AC3F75"/>
    <w:rsid w:val="00AC6F23"/>
    <w:rsid w:val="00AD2900"/>
    <w:rsid w:val="00AD2BA9"/>
    <w:rsid w:val="00AD4CE3"/>
    <w:rsid w:val="00AD4F60"/>
    <w:rsid w:val="00AD549C"/>
    <w:rsid w:val="00AD7764"/>
    <w:rsid w:val="00AE1EAC"/>
    <w:rsid w:val="00AE3187"/>
    <w:rsid w:val="00AE3401"/>
    <w:rsid w:val="00AE6307"/>
    <w:rsid w:val="00AE7FDD"/>
    <w:rsid w:val="00AF1476"/>
    <w:rsid w:val="00AF2A22"/>
    <w:rsid w:val="00AF2D1A"/>
    <w:rsid w:val="00AF3128"/>
    <w:rsid w:val="00AF5000"/>
    <w:rsid w:val="00AF596E"/>
    <w:rsid w:val="00AF7FC5"/>
    <w:rsid w:val="00B01185"/>
    <w:rsid w:val="00B03192"/>
    <w:rsid w:val="00B0372B"/>
    <w:rsid w:val="00B038F6"/>
    <w:rsid w:val="00B04E63"/>
    <w:rsid w:val="00B0654E"/>
    <w:rsid w:val="00B06F93"/>
    <w:rsid w:val="00B07B43"/>
    <w:rsid w:val="00B1067A"/>
    <w:rsid w:val="00B12956"/>
    <w:rsid w:val="00B12D4C"/>
    <w:rsid w:val="00B1444B"/>
    <w:rsid w:val="00B15E67"/>
    <w:rsid w:val="00B17FFA"/>
    <w:rsid w:val="00B2028B"/>
    <w:rsid w:val="00B210A7"/>
    <w:rsid w:val="00B21E25"/>
    <w:rsid w:val="00B21F13"/>
    <w:rsid w:val="00B22288"/>
    <w:rsid w:val="00B230F5"/>
    <w:rsid w:val="00B257C0"/>
    <w:rsid w:val="00B266AF"/>
    <w:rsid w:val="00B26BD3"/>
    <w:rsid w:val="00B30110"/>
    <w:rsid w:val="00B30510"/>
    <w:rsid w:val="00B31B8C"/>
    <w:rsid w:val="00B31EE7"/>
    <w:rsid w:val="00B323B7"/>
    <w:rsid w:val="00B3299E"/>
    <w:rsid w:val="00B347AC"/>
    <w:rsid w:val="00B362D6"/>
    <w:rsid w:val="00B37BE9"/>
    <w:rsid w:val="00B40869"/>
    <w:rsid w:val="00B40C30"/>
    <w:rsid w:val="00B41BE9"/>
    <w:rsid w:val="00B44DA4"/>
    <w:rsid w:val="00B4628A"/>
    <w:rsid w:val="00B46D88"/>
    <w:rsid w:val="00B470EC"/>
    <w:rsid w:val="00B47E9C"/>
    <w:rsid w:val="00B53928"/>
    <w:rsid w:val="00B54724"/>
    <w:rsid w:val="00B605A0"/>
    <w:rsid w:val="00B62658"/>
    <w:rsid w:val="00B63C30"/>
    <w:rsid w:val="00B63E83"/>
    <w:rsid w:val="00B6487B"/>
    <w:rsid w:val="00B659CC"/>
    <w:rsid w:val="00B701A8"/>
    <w:rsid w:val="00B70918"/>
    <w:rsid w:val="00B724BA"/>
    <w:rsid w:val="00B744F7"/>
    <w:rsid w:val="00B7574D"/>
    <w:rsid w:val="00B801D5"/>
    <w:rsid w:val="00B818DB"/>
    <w:rsid w:val="00B82497"/>
    <w:rsid w:val="00B8721C"/>
    <w:rsid w:val="00B87506"/>
    <w:rsid w:val="00B87785"/>
    <w:rsid w:val="00B9013D"/>
    <w:rsid w:val="00B94300"/>
    <w:rsid w:val="00B957DF"/>
    <w:rsid w:val="00B95D29"/>
    <w:rsid w:val="00B95FA7"/>
    <w:rsid w:val="00B9643F"/>
    <w:rsid w:val="00B9657F"/>
    <w:rsid w:val="00B96EE5"/>
    <w:rsid w:val="00BA0884"/>
    <w:rsid w:val="00BA0BCC"/>
    <w:rsid w:val="00BA22CA"/>
    <w:rsid w:val="00BA6FEA"/>
    <w:rsid w:val="00BB0F22"/>
    <w:rsid w:val="00BB26F2"/>
    <w:rsid w:val="00BB4748"/>
    <w:rsid w:val="00BB49BE"/>
    <w:rsid w:val="00BB5C2F"/>
    <w:rsid w:val="00BB62DB"/>
    <w:rsid w:val="00BC1473"/>
    <w:rsid w:val="00BC2A3A"/>
    <w:rsid w:val="00BC3343"/>
    <w:rsid w:val="00BC3B80"/>
    <w:rsid w:val="00BC5889"/>
    <w:rsid w:val="00BC5A8B"/>
    <w:rsid w:val="00BC697A"/>
    <w:rsid w:val="00BC7E63"/>
    <w:rsid w:val="00BD0C31"/>
    <w:rsid w:val="00BD1BA9"/>
    <w:rsid w:val="00BD34DA"/>
    <w:rsid w:val="00BD4735"/>
    <w:rsid w:val="00BD729A"/>
    <w:rsid w:val="00BE4159"/>
    <w:rsid w:val="00BE4A8B"/>
    <w:rsid w:val="00BE68CB"/>
    <w:rsid w:val="00BE6CB0"/>
    <w:rsid w:val="00BE6D4C"/>
    <w:rsid w:val="00BE7C4B"/>
    <w:rsid w:val="00BF121D"/>
    <w:rsid w:val="00BF13C3"/>
    <w:rsid w:val="00BF1A9E"/>
    <w:rsid w:val="00BF2AB2"/>
    <w:rsid w:val="00BF5721"/>
    <w:rsid w:val="00C007AA"/>
    <w:rsid w:val="00C010E1"/>
    <w:rsid w:val="00C04B27"/>
    <w:rsid w:val="00C0757A"/>
    <w:rsid w:val="00C10BB6"/>
    <w:rsid w:val="00C14A43"/>
    <w:rsid w:val="00C16795"/>
    <w:rsid w:val="00C17BD8"/>
    <w:rsid w:val="00C2188A"/>
    <w:rsid w:val="00C22D32"/>
    <w:rsid w:val="00C239AE"/>
    <w:rsid w:val="00C321EB"/>
    <w:rsid w:val="00C34E4E"/>
    <w:rsid w:val="00C36A4D"/>
    <w:rsid w:val="00C41F49"/>
    <w:rsid w:val="00C4234D"/>
    <w:rsid w:val="00C42B4B"/>
    <w:rsid w:val="00C44DE0"/>
    <w:rsid w:val="00C45B28"/>
    <w:rsid w:val="00C45F57"/>
    <w:rsid w:val="00C464D5"/>
    <w:rsid w:val="00C5266D"/>
    <w:rsid w:val="00C53512"/>
    <w:rsid w:val="00C54F92"/>
    <w:rsid w:val="00C5599A"/>
    <w:rsid w:val="00C61147"/>
    <w:rsid w:val="00C61A5A"/>
    <w:rsid w:val="00C636F1"/>
    <w:rsid w:val="00C63D7E"/>
    <w:rsid w:val="00C64730"/>
    <w:rsid w:val="00C659B0"/>
    <w:rsid w:val="00C707C9"/>
    <w:rsid w:val="00C729A4"/>
    <w:rsid w:val="00C75FE3"/>
    <w:rsid w:val="00C7638A"/>
    <w:rsid w:val="00C81C31"/>
    <w:rsid w:val="00C82850"/>
    <w:rsid w:val="00C83E5F"/>
    <w:rsid w:val="00C86DF4"/>
    <w:rsid w:val="00C926FA"/>
    <w:rsid w:val="00C92B88"/>
    <w:rsid w:val="00C93A5E"/>
    <w:rsid w:val="00C95057"/>
    <w:rsid w:val="00C96139"/>
    <w:rsid w:val="00C967E0"/>
    <w:rsid w:val="00CA08CF"/>
    <w:rsid w:val="00CA3651"/>
    <w:rsid w:val="00CA4974"/>
    <w:rsid w:val="00CA4EC0"/>
    <w:rsid w:val="00CA4F3C"/>
    <w:rsid w:val="00CA562F"/>
    <w:rsid w:val="00CA5BBD"/>
    <w:rsid w:val="00CA6DAC"/>
    <w:rsid w:val="00CA7568"/>
    <w:rsid w:val="00CA761A"/>
    <w:rsid w:val="00CB1216"/>
    <w:rsid w:val="00CB2C6A"/>
    <w:rsid w:val="00CB370D"/>
    <w:rsid w:val="00CB3F5D"/>
    <w:rsid w:val="00CB44F5"/>
    <w:rsid w:val="00CB45AF"/>
    <w:rsid w:val="00CB47C1"/>
    <w:rsid w:val="00CB4AF7"/>
    <w:rsid w:val="00CB4F59"/>
    <w:rsid w:val="00CB5088"/>
    <w:rsid w:val="00CB56F8"/>
    <w:rsid w:val="00CB7694"/>
    <w:rsid w:val="00CC19B0"/>
    <w:rsid w:val="00CC2A32"/>
    <w:rsid w:val="00CC305D"/>
    <w:rsid w:val="00CC5344"/>
    <w:rsid w:val="00CC61DB"/>
    <w:rsid w:val="00CD35DE"/>
    <w:rsid w:val="00CD3969"/>
    <w:rsid w:val="00CD39FE"/>
    <w:rsid w:val="00CD592F"/>
    <w:rsid w:val="00CE029F"/>
    <w:rsid w:val="00CE1323"/>
    <w:rsid w:val="00CF14A2"/>
    <w:rsid w:val="00CF2424"/>
    <w:rsid w:val="00CF6497"/>
    <w:rsid w:val="00D10022"/>
    <w:rsid w:val="00D101F0"/>
    <w:rsid w:val="00D1191F"/>
    <w:rsid w:val="00D1453A"/>
    <w:rsid w:val="00D145A6"/>
    <w:rsid w:val="00D149C1"/>
    <w:rsid w:val="00D150D7"/>
    <w:rsid w:val="00D17F3A"/>
    <w:rsid w:val="00D21C0E"/>
    <w:rsid w:val="00D226F9"/>
    <w:rsid w:val="00D238B8"/>
    <w:rsid w:val="00D2503F"/>
    <w:rsid w:val="00D253A6"/>
    <w:rsid w:val="00D25E39"/>
    <w:rsid w:val="00D30FD3"/>
    <w:rsid w:val="00D31161"/>
    <w:rsid w:val="00D311C1"/>
    <w:rsid w:val="00D332B9"/>
    <w:rsid w:val="00D3503D"/>
    <w:rsid w:val="00D35874"/>
    <w:rsid w:val="00D35E60"/>
    <w:rsid w:val="00D36140"/>
    <w:rsid w:val="00D41DE6"/>
    <w:rsid w:val="00D4214A"/>
    <w:rsid w:val="00D4767A"/>
    <w:rsid w:val="00D5055D"/>
    <w:rsid w:val="00D517AA"/>
    <w:rsid w:val="00D523A6"/>
    <w:rsid w:val="00D5356A"/>
    <w:rsid w:val="00D539AE"/>
    <w:rsid w:val="00D53EA3"/>
    <w:rsid w:val="00D5477F"/>
    <w:rsid w:val="00D56E59"/>
    <w:rsid w:val="00D574C6"/>
    <w:rsid w:val="00D6042C"/>
    <w:rsid w:val="00D6123A"/>
    <w:rsid w:val="00D631C8"/>
    <w:rsid w:val="00D63E14"/>
    <w:rsid w:val="00D63EEA"/>
    <w:rsid w:val="00D6465A"/>
    <w:rsid w:val="00D66418"/>
    <w:rsid w:val="00D71DBA"/>
    <w:rsid w:val="00D7205E"/>
    <w:rsid w:val="00D74649"/>
    <w:rsid w:val="00D757B4"/>
    <w:rsid w:val="00D75B91"/>
    <w:rsid w:val="00D760F8"/>
    <w:rsid w:val="00D77D0A"/>
    <w:rsid w:val="00D81235"/>
    <w:rsid w:val="00D8220A"/>
    <w:rsid w:val="00D82D91"/>
    <w:rsid w:val="00D83854"/>
    <w:rsid w:val="00D86300"/>
    <w:rsid w:val="00D90DC6"/>
    <w:rsid w:val="00D90DD4"/>
    <w:rsid w:val="00D92782"/>
    <w:rsid w:val="00D92909"/>
    <w:rsid w:val="00D92B82"/>
    <w:rsid w:val="00D931EC"/>
    <w:rsid w:val="00D94CAF"/>
    <w:rsid w:val="00D95F3A"/>
    <w:rsid w:val="00D964F1"/>
    <w:rsid w:val="00D96B5F"/>
    <w:rsid w:val="00DA0B3C"/>
    <w:rsid w:val="00DA1D14"/>
    <w:rsid w:val="00DA1E98"/>
    <w:rsid w:val="00DA3114"/>
    <w:rsid w:val="00DA3583"/>
    <w:rsid w:val="00DA4550"/>
    <w:rsid w:val="00DA45F3"/>
    <w:rsid w:val="00DA5798"/>
    <w:rsid w:val="00DA5FEF"/>
    <w:rsid w:val="00DA657B"/>
    <w:rsid w:val="00DA7847"/>
    <w:rsid w:val="00DB0A55"/>
    <w:rsid w:val="00DB0DE8"/>
    <w:rsid w:val="00DB1561"/>
    <w:rsid w:val="00DB30F5"/>
    <w:rsid w:val="00DB461B"/>
    <w:rsid w:val="00DB49B4"/>
    <w:rsid w:val="00DB7AB8"/>
    <w:rsid w:val="00DB7D19"/>
    <w:rsid w:val="00DC02D0"/>
    <w:rsid w:val="00DC0B83"/>
    <w:rsid w:val="00DC1283"/>
    <w:rsid w:val="00DD084E"/>
    <w:rsid w:val="00DD2930"/>
    <w:rsid w:val="00DD3A6D"/>
    <w:rsid w:val="00DD5640"/>
    <w:rsid w:val="00DD6A6B"/>
    <w:rsid w:val="00DD76A3"/>
    <w:rsid w:val="00DE1564"/>
    <w:rsid w:val="00DE3119"/>
    <w:rsid w:val="00DE3716"/>
    <w:rsid w:val="00DE61F8"/>
    <w:rsid w:val="00DF0489"/>
    <w:rsid w:val="00DF169F"/>
    <w:rsid w:val="00DF1B06"/>
    <w:rsid w:val="00DF2157"/>
    <w:rsid w:val="00DF3475"/>
    <w:rsid w:val="00DF5807"/>
    <w:rsid w:val="00E00DC2"/>
    <w:rsid w:val="00E01BF0"/>
    <w:rsid w:val="00E02DF7"/>
    <w:rsid w:val="00E03C3A"/>
    <w:rsid w:val="00E11B25"/>
    <w:rsid w:val="00E155AC"/>
    <w:rsid w:val="00E16D9B"/>
    <w:rsid w:val="00E1750B"/>
    <w:rsid w:val="00E25069"/>
    <w:rsid w:val="00E25ACD"/>
    <w:rsid w:val="00E309FF"/>
    <w:rsid w:val="00E30DD2"/>
    <w:rsid w:val="00E31914"/>
    <w:rsid w:val="00E31E5E"/>
    <w:rsid w:val="00E32961"/>
    <w:rsid w:val="00E334A6"/>
    <w:rsid w:val="00E35512"/>
    <w:rsid w:val="00E35BDF"/>
    <w:rsid w:val="00E35CCA"/>
    <w:rsid w:val="00E37931"/>
    <w:rsid w:val="00E417B8"/>
    <w:rsid w:val="00E41A74"/>
    <w:rsid w:val="00E43E89"/>
    <w:rsid w:val="00E44D91"/>
    <w:rsid w:val="00E45B12"/>
    <w:rsid w:val="00E467D2"/>
    <w:rsid w:val="00E5145F"/>
    <w:rsid w:val="00E539A2"/>
    <w:rsid w:val="00E56730"/>
    <w:rsid w:val="00E56B1A"/>
    <w:rsid w:val="00E60CCD"/>
    <w:rsid w:val="00E621AB"/>
    <w:rsid w:val="00E62C16"/>
    <w:rsid w:val="00E655B8"/>
    <w:rsid w:val="00E66C26"/>
    <w:rsid w:val="00E714EC"/>
    <w:rsid w:val="00E72F05"/>
    <w:rsid w:val="00E730CC"/>
    <w:rsid w:val="00E777B3"/>
    <w:rsid w:val="00E77F67"/>
    <w:rsid w:val="00E80363"/>
    <w:rsid w:val="00E80C29"/>
    <w:rsid w:val="00E83511"/>
    <w:rsid w:val="00E8749F"/>
    <w:rsid w:val="00E8766A"/>
    <w:rsid w:val="00E876E2"/>
    <w:rsid w:val="00E90056"/>
    <w:rsid w:val="00E9117E"/>
    <w:rsid w:val="00E95DF0"/>
    <w:rsid w:val="00E969F7"/>
    <w:rsid w:val="00E97D00"/>
    <w:rsid w:val="00EA1631"/>
    <w:rsid w:val="00EA2560"/>
    <w:rsid w:val="00EA51A1"/>
    <w:rsid w:val="00EA680B"/>
    <w:rsid w:val="00EA6C56"/>
    <w:rsid w:val="00EA74EA"/>
    <w:rsid w:val="00EB0721"/>
    <w:rsid w:val="00EB1935"/>
    <w:rsid w:val="00EB1BAF"/>
    <w:rsid w:val="00EB1F13"/>
    <w:rsid w:val="00EB3D00"/>
    <w:rsid w:val="00EB403A"/>
    <w:rsid w:val="00EB4A28"/>
    <w:rsid w:val="00EB4C3D"/>
    <w:rsid w:val="00EB5186"/>
    <w:rsid w:val="00EB54F5"/>
    <w:rsid w:val="00EB6B81"/>
    <w:rsid w:val="00EB78C7"/>
    <w:rsid w:val="00EC1DC3"/>
    <w:rsid w:val="00EC385C"/>
    <w:rsid w:val="00EC4093"/>
    <w:rsid w:val="00EC493B"/>
    <w:rsid w:val="00EC4EE8"/>
    <w:rsid w:val="00EC6BD3"/>
    <w:rsid w:val="00ED0026"/>
    <w:rsid w:val="00ED08F8"/>
    <w:rsid w:val="00ED4AD7"/>
    <w:rsid w:val="00ED4B09"/>
    <w:rsid w:val="00EE4196"/>
    <w:rsid w:val="00EE41C2"/>
    <w:rsid w:val="00EE4E27"/>
    <w:rsid w:val="00EF5C16"/>
    <w:rsid w:val="00EF6D0A"/>
    <w:rsid w:val="00EF6E2C"/>
    <w:rsid w:val="00EF7110"/>
    <w:rsid w:val="00EF740A"/>
    <w:rsid w:val="00EF7DE6"/>
    <w:rsid w:val="00F014AA"/>
    <w:rsid w:val="00F01ECD"/>
    <w:rsid w:val="00F02039"/>
    <w:rsid w:val="00F022FA"/>
    <w:rsid w:val="00F06BEC"/>
    <w:rsid w:val="00F0737F"/>
    <w:rsid w:val="00F10E5C"/>
    <w:rsid w:val="00F10FBB"/>
    <w:rsid w:val="00F12815"/>
    <w:rsid w:val="00F1311E"/>
    <w:rsid w:val="00F1320B"/>
    <w:rsid w:val="00F13B23"/>
    <w:rsid w:val="00F14EDF"/>
    <w:rsid w:val="00F17FCC"/>
    <w:rsid w:val="00F207C7"/>
    <w:rsid w:val="00F2100A"/>
    <w:rsid w:val="00F2169F"/>
    <w:rsid w:val="00F21A6D"/>
    <w:rsid w:val="00F227A2"/>
    <w:rsid w:val="00F23EB1"/>
    <w:rsid w:val="00F23FCB"/>
    <w:rsid w:val="00F26C50"/>
    <w:rsid w:val="00F27985"/>
    <w:rsid w:val="00F30C57"/>
    <w:rsid w:val="00F30D89"/>
    <w:rsid w:val="00F31D6F"/>
    <w:rsid w:val="00F32259"/>
    <w:rsid w:val="00F33E40"/>
    <w:rsid w:val="00F34A70"/>
    <w:rsid w:val="00F35C88"/>
    <w:rsid w:val="00F35EC6"/>
    <w:rsid w:val="00F42022"/>
    <w:rsid w:val="00F45E09"/>
    <w:rsid w:val="00F524FA"/>
    <w:rsid w:val="00F56D62"/>
    <w:rsid w:val="00F63666"/>
    <w:rsid w:val="00F65E3A"/>
    <w:rsid w:val="00F6683D"/>
    <w:rsid w:val="00F70519"/>
    <w:rsid w:val="00F7152E"/>
    <w:rsid w:val="00F72B1B"/>
    <w:rsid w:val="00F738DD"/>
    <w:rsid w:val="00F75588"/>
    <w:rsid w:val="00F757B0"/>
    <w:rsid w:val="00F76C62"/>
    <w:rsid w:val="00F77066"/>
    <w:rsid w:val="00F77EF1"/>
    <w:rsid w:val="00F8348A"/>
    <w:rsid w:val="00F83526"/>
    <w:rsid w:val="00F83F90"/>
    <w:rsid w:val="00F8478C"/>
    <w:rsid w:val="00F86F6D"/>
    <w:rsid w:val="00F97618"/>
    <w:rsid w:val="00F97FCA"/>
    <w:rsid w:val="00FA026E"/>
    <w:rsid w:val="00FA221C"/>
    <w:rsid w:val="00FA254F"/>
    <w:rsid w:val="00FB1D3C"/>
    <w:rsid w:val="00FB2678"/>
    <w:rsid w:val="00FB276C"/>
    <w:rsid w:val="00FB3D31"/>
    <w:rsid w:val="00FB4EB3"/>
    <w:rsid w:val="00FB5B54"/>
    <w:rsid w:val="00FC1812"/>
    <w:rsid w:val="00FC26A1"/>
    <w:rsid w:val="00FC338E"/>
    <w:rsid w:val="00FC4398"/>
    <w:rsid w:val="00FC4B1E"/>
    <w:rsid w:val="00FC6340"/>
    <w:rsid w:val="00FC64D5"/>
    <w:rsid w:val="00FC6AE0"/>
    <w:rsid w:val="00FD0F14"/>
    <w:rsid w:val="00FD1290"/>
    <w:rsid w:val="00FD1F41"/>
    <w:rsid w:val="00FD3E99"/>
    <w:rsid w:val="00FD4201"/>
    <w:rsid w:val="00FD7E01"/>
    <w:rsid w:val="00FE2AAB"/>
    <w:rsid w:val="00FE6331"/>
    <w:rsid w:val="00FE6372"/>
    <w:rsid w:val="00FF1402"/>
    <w:rsid w:val="00FF1D4B"/>
    <w:rsid w:val="00FF3D3E"/>
    <w:rsid w:val="00FF53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style="mso-position-vertical-relative:line;mso-width-relative:margin;mso-height-relative:margin" fillcolor="white" strokecolor="none [1612]">
      <v:fill color="white"/>
      <v:stroke color="none [1612]"/>
    </o:shapedefaults>
    <o:shapelayout v:ext="edit">
      <o:idmap v:ext="edit" data="2"/>
    </o:shapelayout>
  </w:shapeDefaults>
  <w:decimalSymbol w:val="."/>
  <w:listSeparator w:val=","/>
  <w14:docId w14:val="49D174D2"/>
  <w15:docId w15:val="{2C68EF07-4983-4B26-9405-1C0C7116C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4189"/>
  </w:style>
  <w:style w:type="paragraph" w:styleId="Heading1">
    <w:name w:val="heading 1"/>
    <w:basedOn w:val="Normal"/>
    <w:next w:val="Normal"/>
    <w:link w:val="Heading1Char"/>
    <w:uiPriority w:val="9"/>
    <w:qFormat/>
    <w:rsid w:val="00F10FB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10FB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BD56A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D56A5"/>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BA0BCC"/>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10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10E2"/>
  </w:style>
  <w:style w:type="paragraph" w:styleId="Footer">
    <w:name w:val="footer"/>
    <w:basedOn w:val="Normal"/>
    <w:link w:val="FooterChar"/>
    <w:uiPriority w:val="99"/>
    <w:unhideWhenUsed/>
    <w:rsid w:val="005E10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10E2"/>
  </w:style>
  <w:style w:type="table" w:styleId="TableGrid">
    <w:name w:val="Table Grid"/>
    <w:basedOn w:val="TableNormal"/>
    <w:uiPriority w:val="39"/>
    <w:rsid w:val="005E10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10FBB"/>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10FBB"/>
    <w:rPr>
      <w:rFonts w:asciiTheme="majorHAnsi" w:eastAsiaTheme="majorEastAsia" w:hAnsiTheme="majorHAnsi" w:cstheme="majorBidi"/>
      <w:color w:val="2F5496" w:themeColor="accent1" w:themeShade="BF"/>
      <w:sz w:val="26"/>
      <w:szCs w:val="26"/>
    </w:rPr>
  </w:style>
  <w:style w:type="table" w:styleId="GridTable1Light-Accent1">
    <w:name w:val="Grid Table 1 Light Accent 1"/>
    <w:basedOn w:val="TableNormal"/>
    <w:uiPriority w:val="46"/>
    <w:rsid w:val="00D7205E"/>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ListTable6Colorful-Accent3">
    <w:name w:val="List Table 6 Colorful Accent 3"/>
    <w:basedOn w:val="TableNormal"/>
    <w:uiPriority w:val="51"/>
    <w:rsid w:val="00675D90"/>
    <w:pPr>
      <w:spacing w:after="0" w:line="240" w:lineRule="auto"/>
    </w:pPr>
    <w:rPr>
      <w:color w:val="7B7B7B" w:themeColor="accent3" w:themeShade="BF"/>
    </w:rPr>
    <w:tblPr>
      <w:tblStyleRowBandSize w:val="1"/>
    </w:tblPr>
    <w:tblStylePr w:type="firstRow">
      <w:rPr>
        <w:b/>
        <w:bCs/>
      </w:rPr>
      <w:tblPr/>
      <w:tcPr>
        <w:tcBorders>
          <w:bottom w:val="single" w:sz="4" w:space="0" w:color="A5A5A5" w:themeColor="accent3"/>
        </w:tcBorders>
      </w:tcPr>
    </w:tblStylePr>
    <w:tblStylePr w:type="lastRow">
      <w:rPr>
        <w:b/>
        <w:bCs/>
      </w:rPr>
      <w:tblPr/>
      <w:tcPr>
        <w:shd w:val="clear" w:color="auto" w:fill="D5DCE4" w:themeFill="text2" w:themeFillTint="33"/>
      </w:tcPr>
    </w:tblStylePr>
    <w:tblStylePr w:type="firstCol">
      <w:rPr>
        <w:b/>
        <w:bCs/>
      </w:rPr>
    </w:tblStylePr>
    <w:tblStylePr w:type="lastCol">
      <w:rPr>
        <w:b/>
        <w:bCs/>
      </w:rPr>
    </w:tblStylePr>
    <w:tblStylePr w:type="band1Horz">
      <w:tblPr/>
      <w:tcPr>
        <w:shd w:val="clear" w:color="auto" w:fill="EDEDED" w:themeFill="accent3" w:themeFillTint="33"/>
      </w:tcPr>
    </w:tblStylePr>
  </w:style>
  <w:style w:type="character" w:styleId="Hyperlink">
    <w:name w:val="Hyperlink"/>
    <w:basedOn w:val="DefaultParagraphFont"/>
    <w:uiPriority w:val="99"/>
    <w:unhideWhenUsed/>
    <w:rsid w:val="00BC7E63"/>
    <w:rPr>
      <w:color w:val="0000FF"/>
      <w:u w:val="single"/>
    </w:rPr>
  </w:style>
  <w:style w:type="character" w:styleId="UnresolvedMention">
    <w:name w:val="Unresolved Mention"/>
    <w:basedOn w:val="DefaultParagraphFont"/>
    <w:uiPriority w:val="99"/>
    <w:semiHidden/>
    <w:unhideWhenUsed/>
    <w:rsid w:val="00CB56F8"/>
    <w:rPr>
      <w:color w:val="605E5C"/>
      <w:shd w:val="clear" w:color="auto" w:fill="E1DFDD"/>
    </w:rPr>
  </w:style>
  <w:style w:type="paragraph" w:styleId="ListParagraph">
    <w:name w:val="List Paragraph"/>
    <w:basedOn w:val="Normal"/>
    <w:uiPriority w:val="34"/>
    <w:qFormat/>
    <w:rsid w:val="00755B21"/>
    <w:pPr>
      <w:ind w:left="720"/>
      <w:contextualSpacing/>
    </w:pPr>
  </w:style>
  <w:style w:type="character" w:styleId="Strong">
    <w:name w:val="Strong"/>
    <w:basedOn w:val="DefaultParagraphFont"/>
    <w:uiPriority w:val="22"/>
    <w:qFormat/>
    <w:rsid w:val="00991229"/>
    <w:rPr>
      <w:b/>
      <w:bCs/>
    </w:rPr>
  </w:style>
  <w:style w:type="character" w:customStyle="1" w:styleId="Heading5Char">
    <w:name w:val="Heading 5 Char"/>
    <w:basedOn w:val="DefaultParagraphFont"/>
    <w:link w:val="Heading5"/>
    <w:uiPriority w:val="9"/>
    <w:semiHidden/>
    <w:rsid w:val="00BA0BCC"/>
    <w:rPr>
      <w:rFonts w:asciiTheme="majorHAnsi" w:eastAsiaTheme="majorEastAsia" w:hAnsiTheme="majorHAnsi" w:cstheme="majorBidi"/>
      <w:color w:val="2F5496" w:themeColor="accent1" w:themeShade="BF"/>
    </w:rPr>
  </w:style>
  <w:style w:type="character" w:customStyle="1" w:styleId="el-tooltip">
    <w:name w:val="el-tooltip"/>
    <w:basedOn w:val="DefaultParagraphFont"/>
    <w:rsid w:val="005F538A"/>
  </w:style>
  <w:style w:type="table" w:styleId="ListTable7Colorful-Accent1">
    <w:name w:val="List Table 7 Colorful Accent 1"/>
    <w:basedOn w:val="TableNormal"/>
    <w:uiPriority w:val="52"/>
    <w:rsid w:val="008D605B"/>
    <w:pPr>
      <w:spacing w:after="0" w:line="240" w:lineRule="auto"/>
    </w:pPr>
    <w:rPr>
      <w:color w:val="2F5496"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1"/>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FollowedHyperlink">
    <w:name w:val="FollowedHyperlink"/>
    <w:basedOn w:val="DefaultParagraphFont"/>
    <w:uiPriority w:val="99"/>
    <w:semiHidden/>
    <w:unhideWhenUsed/>
    <w:rsid w:val="00020186"/>
    <w:rPr>
      <w:color w:val="954F72" w:themeColor="followedHyperlink"/>
      <w:u w:val="single"/>
    </w:rPr>
  </w:style>
  <w:style w:type="paragraph" w:styleId="Caption">
    <w:name w:val="caption"/>
    <w:basedOn w:val="Normal"/>
    <w:next w:val="Normal"/>
    <w:uiPriority w:val="35"/>
    <w:unhideWhenUsed/>
    <w:qFormat/>
    <w:rsid w:val="006912F8"/>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AB7B9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B7B9B"/>
    <w:rPr>
      <w:rFonts w:ascii="Segoe UI" w:hAnsi="Segoe UI" w:cs="Segoe UI"/>
      <w:sz w:val="18"/>
      <w:szCs w:val="18"/>
    </w:rPr>
  </w:style>
  <w:style w:type="paragraph" w:styleId="Quote">
    <w:name w:val="Quote"/>
    <w:basedOn w:val="Normal"/>
    <w:next w:val="Normal"/>
    <w:link w:val="QuoteChar"/>
    <w:uiPriority w:val="29"/>
    <w:qFormat/>
    <w:rsid w:val="00117C2C"/>
    <w:pPr>
      <w:spacing w:before="200"/>
      <w:ind w:left="864" w:right="864"/>
      <w:jc w:val="center"/>
    </w:pPr>
    <w:rPr>
      <w:i/>
      <w:iCs/>
      <w:color w:val="404040" w:themeColor="text1" w:themeTint="BF"/>
    </w:rPr>
  </w:style>
  <w:style w:type="character" w:customStyle="1" w:styleId="QuoteChar">
    <w:name w:val="Quote Char"/>
    <w:link w:val="Quote"/>
    <w:uiPriority w:val="29"/>
    <w:rsid w:val="00117C2C"/>
    <w:rPr>
      <w:i/>
      <w:iCs/>
      <w:color w:val="404040" w:themeColor="text1" w:themeTint="BF"/>
    </w:rPr>
  </w:style>
  <w:style w:type="paragraph" w:customStyle="1" w:styleId="code">
    <w:name w:val="code"/>
    <w:basedOn w:val="Normal"/>
    <w:qFormat/>
    <w:rPr>
      <w:rFonts w:ascii="Courier 10 Pitch" w:hAnsi="Courier 10 Pitch"/>
      <w:highlight w:val="lightGray"/>
    </w:rPr>
  </w:style>
  <w:style w:type="character" w:styleId="SubtleEmphasis">
    <w:name w:val="Subtle Emphasis"/>
    <w:uiPriority w:val="19"/>
    <w:qFormat/>
    <w:rsid w:val="00F33E4D"/>
    <w:rPr>
      <w:i/>
      <w:iCs/>
      <w:color w:val="404040" w:themeColor="text1" w:themeTint="BF"/>
    </w:rPr>
  </w:style>
  <w:style w:type="paragraph" w:customStyle="1" w:styleId="Heading">
    <w:name w:val="Heading"/>
    <w:basedOn w:val="Normal"/>
    <w:next w:val="Normal"/>
    <w:link w:val="HeadingCar"/>
    <w:uiPriority w:val="10"/>
    <w:qFormat/>
    <w:rsid w:val="00984053"/>
    <w:pPr>
      <w:spacing w:after="0" w:line="240" w:lineRule="auto"/>
      <w:contextualSpacing/>
    </w:pPr>
    <w:rPr>
      <w:rFonts w:asciiTheme="majorHAnsi" w:eastAsiaTheme="majorEastAsia" w:hAnsiTheme="majorHAnsi" w:cstheme="majorBidi"/>
      <w:spacing w:val="-10"/>
      <w:kern w:val="28"/>
      <w:sz w:val="56"/>
      <w:szCs w:val="56"/>
    </w:rPr>
  </w:style>
  <w:style w:type="paragraph" w:customStyle="1" w:styleId="Index">
    <w:name w:val="Index"/>
    <w:basedOn w:val="Normal"/>
    <w:qFormat/>
    <w:pPr>
      <w:suppressLineNumbers/>
    </w:pPr>
    <w:rPr>
      <w:rFonts w:cs="Lohit Devanagari"/>
    </w:rPr>
  </w:style>
  <w:style w:type="paragraph" w:styleId="List">
    <w:name w:val="List"/>
    <w:basedOn w:val="BodyText"/>
    <w:rPr>
      <w:rFonts w:cs="Lohit Devanagari"/>
    </w:rPr>
  </w:style>
  <w:style w:type="character" w:customStyle="1" w:styleId="NumberingSymbols">
    <w:name w:val="Numbering Symbols"/>
    <w:qFormat/>
  </w:style>
  <w:style w:type="paragraph" w:styleId="BodyText">
    <w:name w:val="Body Text"/>
    <w:basedOn w:val="Normal"/>
    <w:pPr>
      <w:spacing w:after="140" w:line="288" w:lineRule="auto"/>
    </w:pPr>
  </w:style>
  <w:style w:type="paragraph" w:styleId="Title">
    <w:name w:val="Title"/>
    <w:basedOn w:val="Heading"/>
    <w:next w:val="BodyText"/>
    <w:qFormat/>
    <w:pPr>
      <w:jc w:val="center"/>
    </w:pPr>
    <w:rPr>
      <w:b/>
      <w:bCs/>
    </w:rPr>
  </w:style>
  <w:style w:type="character" w:customStyle="1" w:styleId="Heading1Car">
    <w:name w:val="Heading 1 Car"/>
    <w:uiPriority w:val="9"/>
    <w:rsid w:val="00F33E4D"/>
    <w:rPr>
      <w:rFonts w:asciiTheme="majorHAnsi" w:eastAsiaTheme="majorEastAsia" w:hAnsiTheme="majorHAnsi" w:cstheme="majorBidi"/>
      <w:color w:val="2F5496" w:themeColor="accent1" w:themeShade="BF"/>
      <w:sz w:val="32"/>
      <w:szCs w:val="32"/>
    </w:rPr>
  </w:style>
  <w:style w:type="character" w:customStyle="1" w:styleId="Heading2Car">
    <w:name w:val="Heading 2 Car"/>
    <w:uiPriority w:val="9"/>
    <w:rsid w:val="00117C2C"/>
    <w:rPr>
      <w:rFonts w:asciiTheme="majorHAnsi" w:eastAsiaTheme="majorEastAsia" w:hAnsiTheme="majorHAnsi" w:cstheme="majorBidi"/>
      <w:color w:val="2F5496" w:themeColor="accent1" w:themeShade="BF"/>
      <w:sz w:val="26"/>
      <w:szCs w:val="26"/>
    </w:rPr>
  </w:style>
  <w:style w:type="character" w:customStyle="1" w:styleId="Heading3Char">
    <w:name w:val="Heading 3 Char"/>
    <w:link w:val="Heading3"/>
    <w:uiPriority w:val="9"/>
    <w:rsid w:val="00BD56A5"/>
    <w:rPr>
      <w:rFonts w:asciiTheme="majorHAnsi" w:eastAsiaTheme="majorEastAsia" w:hAnsiTheme="majorHAnsi" w:cstheme="majorBidi"/>
      <w:color w:val="1F3763" w:themeColor="accent1" w:themeShade="7F"/>
      <w:sz w:val="24"/>
      <w:szCs w:val="24"/>
    </w:rPr>
  </w:style>
  <w:style w:type="character" w:customStyle="1" w:styleId="Heading4Char">
    <w:name w:val="Heading 4 Char"/>
    <w:link w:val="Heading4"/>
    <w:uiPriority w:val="9"/>
    <w:rsid w:val="00BD56A5"/>
    <w:rPr>
      <w:rFonts w:asciiTheme="majorHAnsi" w:eastAsiaTheme="majorEastAsia" w:hAnsiTheme="majorHAnsi" w:cstheme="majorBidi"/>
      <w:i/>
      <w:iCs/>
      <w:color w:val="2F5496" w:themeColor="accent1" w:themeShade="BF"/>
      <w:sz w:val="24"/>
      <w:szCs w:val="24"/>
    </w:rPr>
  </w:style>
  <w:style w:type="character" w:customStyle="1" w:styleId="Heading5Car">
    <w:name w:val="Heading 5 Car"/>
    <w:uiPriority w:val="9"/>
    <w:rsid w:val="00BD56A5"/>
    <w:rPr>
      <w:rFonts w:asciiTheme="majorHAnsi" w:eastAsiaTheme="majorEastAsia" w:hAnsiTheme="majorHAnsi" w:cstheme="majorBidi"/>
      <w:color w:val="2F5496" w:themeColor="accent1" w:themeShade="BF"/>
    </w:rPr>
  </w:style>
  <w:style w:type="character" w:customStyle="1" w:styleId="HeadingCar">
    <w:name w:val="Heading Car"/>
    <w:link w:val="Heading"/>
    <w:uiPriority w:val="10"/>
    <w:rsid w:val="00984053"/>
    <w:rPr>
      <w:rFonts w:asciiTheme="majorHAnsi" w:eastAsiaTheme="majorEastAsia" w:hAnsiTheme="majorHAnsi" w:cstheme="majorBidi"/>
      <w:spacing w:val="-10"/>
      <w:kern w:val="28"/>
      <w:sz w:val="56"/>
      <w:szCs w:val="56"/>
    </w:rPr>
  </w:style>
  <w:style xmlns:w="http://schemas.openxmlformats.org/wordprocessingml/2006/main" w:type="character" w:customStyle="1" w:styleId="CitationCar">
    <w:name w:val="Citation Car"/>
    <w:basedOn w:val="Policepardfaut"/>
    <w:link w:val="Citation"/>
    <w:uiPriority w:val="29"/>
    <w:rsid w:val="00117C2C"/>
    <w:rPr>
      <w:i/>
      <w:iCs/>
      <w:color w:val="404040" w:themeColor="text1" w:themeTint="BF"/>
    </w:rPr>
  </w:style>
  <w:style xmlns:w="http://schemas.openxmlformats.org/wordprocessingml/2006/main" w:type="character" w:customStyle="1" w:styleId="Heading3Car">
    <w:name w:val="Heading 3 Car"/>
    <w:basedOn w:val="Policepardfaut"/>
    <w:link w:val="Heading3"/>
    <w:uiPriority w:val="9"/>
    <w:rsid w:val="00BD56A5"/>
    <w:rPr>
      <w:rFonts w:asciiTheme="majorHAnsi" w:eastAsiaTheme="majorEastAsia" w:hAnsiTheme="majorHAnsi" w:cstheme="majorBidi"/>
      <w:color w:val="1F4D78" w:themeColor="accent1" w:themeShade="7F"/>
      <w:sz w:val="24"/>
      <w:szCs w:val="24"/>
    </w:rPr>
  </w:style>
  <w:style xmlns:w="http://schemas.openxmlformats.org/wordprocessingml/2006/main" w:type="character" w:customStyle="1" w:styleId="Heading4Car">
    <w:name w:val="Heading 4 Car"/>
    <w:basedOn w:val="Policepardfaut"/>
    <w:link w:val="Heading4"/>
    <w:uiPriority w:val="9"/>
    <w:rsid w:val="00BD56A5"/>
    <w:rPr>
      <w:rFonts w:asciiTheme="majorHAnsi" w:eastAsiaTheme="majorEastAsia" w:hAnsiTheme="majorHAnsi" w:cstheme="majorBidi"/>
      <w:i/>
      <w:iCs/>
      <w:color w:val="365F91" w:themeColor="accent1" w:themeShade="B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933749">
      <w:bodyDiv w:val="1"/>
      <w:marLeft w:val="0"/>
      <w:marRight w:val="0"/>
      <w:marTop w:val="0"/>
      <w:marBottom w:val="0"/>
      <w:divBdr>
        <w:top w:val="none" w:sz="0" w:space="0" w:color="auto"/>
        <w:left w:val="none" w:sz="0" w:space="0" w:color="auto"/>
        <w:bottom w:val="none" w:sz="0" w:space="0" w:color="auto"/>
        <w:right w:val="none" w:sz="0" w:space="0" w:color="auto"/>
      </w:divBdr>
    </w:div>
    <w:div w:id="242112054">
      <w:bodyDiv w:val="1"/>
      <w:marLeft w:val="0"/>
      <w:marRight w:val="0"/>
      <w:marTop w:val="0"/>
      <w:marBottom w:val="0"/>
      <w:divBdr>
        <w:top w:val="none" w:sz="0" w:space="0" w:color="auto"/>
        <w:left w:val="none" w:sz="0" w:space="0" w:color="auto"/>
        <w:bottom w:val="none" w:sz="0" w:space="0" w:color="auto"/>
        <w:right w:val="none" w:sz="0" w:space="0" w:color="auto"/>
      </w:divBdr>
    </w:div>
    <w:div w:id="287132636">
      <w:bodyDiv w:val="1"/>
      <w:marLeft w:val="0"/>
      <w:marRight w:val="0"/>
      <w:marTop w:val="0"/>
      <w:marBottom w:val="0"/>
      <w:divBdr>
        <w:top w:val="none" w:sz="0" w:space="0" w:color="auto"/>
        <w:left w:val="none" w:sz="0" w:space="0" w:color="auto"/>
        <w:bottom w:val="none" w:sz="0" w:space="0" w:color="auto"/>
        <w:right w:val="none" w:sz="0" w:space="0" w:color="auto"/>
      </w:divBdr>
      <w:divsChild>
        <w:div w:id="1847012242">
          <w:marLeft w:val="0"/>
          <w:marRight w:val="0"/>
          <w:marTop w:val="0"/>
          <w:marBottom w:val="0"/>
          <w:divBdr>
            <w:top w:val="none" w:sz="0" w:space="0" w:color="auto"/>
            <w:left w:val="none" w:sz="0" w:space="0" w:color="auto"/>
            <w:bottom w:val="none" w:sz="0" w:space="0" w:color="auto"/>
            <w:right w:val="none" w:sz="0" w:space="0" w:color="auto"/>
          </w:divBdr>
          <w:divsChild>
            <w:div w:id="779951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706112">
      <w:bodyDiv w:val="1"/>
      <w:marLeft w:val="0"/>
      <w:marRight w:val="0"/>
      <w:marTop w:val="0"/>
      <w:marBottom w:val="0"/>
      <w:divBdr>
        <w:top w:val="none" w:sz="0" w:space="0" w:color="auto"/>
        <w:left w:val="none" w:sz="0" w:space="0" w:color="auto"/>
        <w:bottom w:val="none" w:sz="0" w:space="0" w:color="auto"/>
        <w:right w:val="none" w:sz="0" w:space="0" w:color="auto"/>
      </w:divBdr>
      <w:divsChild>
        <w:div w:id="64649354">
          <w:marLeft w:val="0"/>
          <w:marRight w:val="0"/>
          <w:marTop w:val="0"/>
          <w:marBottom w:val="45"/>
          <w:divBdr>
            <w:top w:val="none" w:sz="0" w:space="0" w:color="auto"/>
            <w:left w:val="none" w:sz="0" w:space="0" w:color="auto"/>
            <w:bottom w:val="none" w:sz="0" w:space="0" w:color="auto"/>
            <w:right w:val="none" w:sz="0" w:space="0" w:color="auto"/>
          </w:divBdr>
        </w:div>
        <w:div w:id="958754106">
          <w:marLeft w:val="0"/>
          <w:marRight w:val="0"/>
          <w:marTop w:val="0"/>
          <w:marBottom w:val="45"/>
          <w:divBdr>
            <w:top w:val="none" w:sz="0" w:space="0" w:color="auto"/>
            <w:left w:val="none" w:sz="0" w:space="0" w:color="auto"/>
            <w:bottom w:val="none" w:sz="0" w:space="0" w:color="auto"/>
            <w:right w:val="none" w:sz="0" w:space="0" w:color="auto"/>
          </w:divBdr>
        </w:div>
        <w:div w:id="1357199162">
          <w:marLeft w:val="0"/>
          <w:marRight w:val="0"/>
          <w:marTop w:val="0"/>
          <w:marBottom w:val="45"/>
          <w:divBdr>
            <w:top w:val="none" w:sz="0" w:space="0" w:color="auto"/>
            <w:left w:val="none" w:sz="0" w:space="0" w:color="auto"/>
            <w:bottom w:val="none" w:sz="0" w:space="0" w:color="auto"/>
            <w:right w:val="none" w:sz="0" w:space="0" w:color="auto"/>
          </w:divBdr>
        </w:div>
        <w:div w:id="1651326272">
          <w:marLeft w:val="0"/>
          <w:marRight w:val="0"/>
          <w:marTop w:val="0"/>
          <w:marBottom w:val="45"/>
          <w:divBdr>
            <w:top w:val="none" w:sz="0" w:space="0" w:color="auto"/>
            <w:left w:val="none" w:sz="0" w:space="0" w:color="auto"/>
            <w:bottom w:val="none" w:sz="0" w:space="0" w:color="auto"/>
            <w:right w:val="none" w:sz="0" w:space="0" w:color="auto"/>
          </w:divBdr>
        </w:div>
      </w:divsChild>
    </w:div>
    <w:div w:id="429935507">
      <w:bodyDiv w:val="1"/>
      <w:marLeft w:val="0"/>
      <w:marRight w:val="0"/>
      <w:marTop w:val="0"/>
      <w:marBottom w:val="0"/>
      <w:divBdr>
        <w:top w:val="none" w:sz="0" w:space="0" w:color="auto"/>
        <w:left w:val="none" w:sz="0" w:space="0" w:color="auto"/>
        <w:bottom w:val="none" w:sz="0" w:space="0" w:color="auto"/>
        <w:right w:val="none" w:sz="0" w:space="0" w:color="auto"/>
      </w:divBdr>
    </w:div>
    <w:div w:id="430666387">
      <w:bodyDiv w:val="1"/>
      <w:marLeft w:val="0"/>
      <w:marRight w:val="0"/>
      <w:marTop w:val="0"/>
      <w:marBottom w:val="0"/>
      <w:divBdr>
        <w:top w:val="none" w:sz="0" w:space="0" w:color="auto"/>
        <w:left w:val="none" w:sz="0" w:space="0" w:color="auto"/>
        <w:bottom w:val="none" w:sz="0" w:space="0" w:color="auto"/>
        <w:right w:val="none" w:sz="0" w:space="0" w:color="auto"/>
      </w:divBdr>
    </w:div>
    <w:div w:id="446586251">
      <w:bodyDiv w:val="1"/>
      <w:marLeft w:val="0"/>
      <w:marRight w:val="0"/>
      <w:marTop w:val="0"/>
      <w:marBottom w:val="0"/>
      <w:divBdr>
        <w:top w:val="none" w:sz="0" w:space="0" w:color="auto"/>
        <w:left w:val="none" w:sz="0" w:space="0" w:color="auto"/>
        <w:bottom w:val="none" w:sz="0" w:space="0" w:color="auto"/>
        <w:right w:val="none" w:sz="0" w:space="0" w:color="auto"/>
      </w:divBdr>
    </w:div>
    <w:div w:id="570651554">
      <w:bodyDiv w:val="1"/>
      <w:marLeft w:val="0"/>
      <w:marRight w:val="0"/>
      <w:marTop w:val="0"/>
      <w:marBottom w:val="0"/>
      <w:divBdr>
        <w:top w:val="none" w:sz="0" w:space="0" w:color="auto"/>
        <w:left w:val="none" w:sz="0" w:space="0" w:color="auto"/>
        <w:bottom w:val="none" w:sz="0" w:space="0" w:color="auto"/>
        <w:right w:val="none" w:sz="0" w:space="0" w:color="auto"/>
      </w:divBdr>
      <w:divsChild>
        <w:div w:id="1842430261">
          <w:marLeft w:val="0"/>
          <w:marRight w:val="0"/>
          <w:marTop w:val="0"/>
          <w:marBottom w:val="0"/>
          <w:divBdr>
            <w:top w:val="none" w:sz="0" w:space="0" w:color="auto"/>
            <w:left w:val="none" w:sz="0" w:space="0" w:color="auto"/>
            <w:bottom w:val="none" w:sz="0" w:space="0" w:color="auto"/>
            <w:right w:val="none" w:sz="0" w:space="0" w:color="auto"/>
          </w:divBdr>
          <w:divsChild>
            <w:div w:id="36302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624264">
      <w:bodyDiv w:val="1"/>
      <w:marLeft w:val="0"/>
      <w:marRight w:val="0"/>
      <w:marTop w:val="0"/>
      <w:marBottom w:val="0"/>
      <w:divBdr>
        <w:top w:val="none" w:sz="0" w:space="0" w:color="auto"/>
        <w:left w:val="none" w:sz="0" w:space="0" w:color="auto"/>
        <w:bottom w:val="none" w:sz="0" w:space="0" w:color="auto"/>
        <w:right w:val="none" w:sz="0" w:space="0" w:color="auto"/>
      </w:divBdr>
    </w:div>
    <w:div w:id="655257814">
      <w:bodyDiv w:val="1"/>
      <w:marLeft w:val="0"/>
      <w:marRight w:val="0"/>
      <w:marTop w:val="0"/>
      <w:marBottom w:val="0"/>
      <w:divBdr>
        <w:top w:val="none" w:sz="0" w:space="0" w:color="auto"/>
        <w:left w:val="none" w:sz="0" w:space="0" w:color="auto"/>
        <w:bottom w:val="none" w:sz="0" w:space="0" w:color="auto"/>
        <w:right w:val="none" w:sz="0" w:space="0" w:color="auto"/>
      </w:divBdr>
    </w:div>
    <w:div w:id="668019898">
      <w:bodyDiv w:val="1"/>
      <w:marLeft w:val="0"/>
      <w:marRight w:val="0"/>
      <w:marTop w:val="0"/>
      <w:marBottom w:val="0"/>
      <w:divBdr>
        <w:top w:val="none" w:sz="0" w:space="0" w:color="auto"/>
        <w:left w:val="none" w:sz="0" w:space="0" w:color="auto"/>
        <w:bottom w:val="none" w:sz="0" w:space="0" w:color="auto"/>
        <w:right w:val="none" w:sz="0" w:space="0" w:color="auto"/>
      </w:divBdr>
      <w:divsChild>
        <w:div w:id="637687928">
          <w:marLeft w:val="0"/>
          <w:marRight w:val="0"/>
          <w:marTop w:val="0"/>
          <w:marBottom w:val="0"/>
          <w:divBdr>
            <w:top w:val="none" w:sz="0" w:space="0" w:color="auto"/>
            <w:left w:val="none" w:sz="0" w:space="0" w:color="auto"/>
            <w:bottom w:val="none" w:sz="0" w:space="0" w:color="auto"/>
            <w:right w:val="none" w:sz="0" w:space="0" w:color="auto"/>
          </w:divBdr>
          <w:divsChild>
            <w:div w:id="730814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729022">
      <w:bodyDiv w:val="1"/>
      <w:marLeft w:val="0"/>
      <w:marRight w:val="0"/>
      <w:marTop w:val="0"/>
      <w:marBottom w:val="0"/>
      <w:divBdr>
        <w:top w:val="none" w:sz="0" w:space="0" w:color="auto"/>
        <w:left w:val="none" w:sz="0" w:space="0" w:color="auto"/>
        <w:bottom w:val="none" w:sz="0" w:space="0" w:color="auto"/>
        <w:right w:val="none" w:sz="0" w:space="0" w:color="auto"/>
      </w:divBdr>
      <w:divsChild>
        <w:div w:id="119224297">
          <w:marLeft w:val="0"/>
          <w:marRight w:val="0"/>
          <w:marTop w:val="0"/>
          <w:marBottom w:val="45"/>
          <w:divBdr>
            <w:top w:val="none" w:sz="0" w:space="0" w:color="auto"/>
            <w:left w:val="none" w:sz="0" w:space="0" w:color="auto"/>
            <w:bottom w:val="none" w:sz="0" w:space="0" w:color="auto"/>
            <w:right w:val="none" w:sz="0" w:space="0" w:color="auto"/>
          </w:divBdr>
        </w:div>
        <w:div w:id="1327709618">
          <w:marLeft w:val="0"/>
          <w:marRight w:val="0"/>
          <w:marTop w:val="0"/>
          <w:marBottom w:val="45"/>
          <w:divBdr>
            <w:top w:val="none" w:sz="0" w:space="0" w:color="auto"/>
            <w:left w:val="none" w:sz="0" w:space="0" w:color="auto"/>
            <w:bottom w:val="none" w:sz="0" w:space="0" w:color="auto"/>
            <w:right w:val="none" w:sz="0" w:space="0" w:color="auto"/>
          </w:divBdr>
        </w:div>
        <w:div w:id="1921057722">
          <w:marLeft w:val="0"/>
          <w:marRight w:val="0"/>
          <w:marTop w:val="0"/>
          <w:marBottom w:val="45"/>
          <w:divBdr>
            <w:top w:val="none" w:sz="0" w:space="0" w:color="auto"/>
            <w:left w:val="none" w:sz="0" w:space="0" w:color="auto"/>
            <w:bottom w:val="none" w:sz="0" w:space="0" w:color="auto"/>
            <w:right w:val="none" w:sz="0" w:space="0" w:color="auto"/>
          </w:divBdr>
        </w:div>
        <w:div w:id="1978947833">
          <w:marLeft w:val="0"/>
          <w:marRight w:val="0"/>
          <w:marTop w:val="0"/>
          <w:marBottom w:val="45"/>
          <w:divBdr>
            <w:top w:val="none" w:sz="0" w:space="0" w:color="auto"/>
            <w:left w:val="none" w:sz="0" w:space="0" w:color="auto"/>
            <w:bottom w:val="none" w:sz="0" w:space="0" w:color="auto"/>
            <w:right w:val="none" w:sz="0" w:space="0" w:color="auto"/>
          </w:divBdr>
        </w:div>
      </w:divsChild>
    </w:div>
    <w:div w:id="698702816">
      <w:bodyDiv w:val="1"/>
      <w:marLeft w:val="0"/>
      <w:marRight w:val="0"/>
      <w:marTop w:val="0"/>
      <w:marBottom w:val="0"/>
      <w:divBdr>
        <w:top w:val="none" w:sz="0" w:space="0" w:color="auto"/>
        <w:left w:val="none" w:sz="0" w:space="0" w:color="auto"/>
        <w:bottom w:val="none" w:sz="0" w:space="0" w:color="auto"/>
        <w:right w:val="none" w:sz="0" w:space="0" w:color="auto"/>
      </w:divBdr>
    </w:div>
    <w:div w:id="733816578">
      <w:bodyDiv w:val="1"/>
      <w:marLeft w:val="0"/>
      <w:marRight w:val="0"/>
      <w:marTop w:val="0"/>
      <w:marBottom w:val="0"/>
      <w:divBdr>
        <w:top w:val="none" w:sz="0" w:space="0" w:color="auto"/>
        <w:left w:val="none" w:sz="0" w:space="0" w:color="auto"/>
        <w:bottom w:val="none" w:sz="0" w:space="0" w:color="auto"/>
        <w:right w:val="none" w:sz="0" w:space="0" w:color="auto"/>
      </w:divBdr>
      <w:divsChild>
        <w:div w:id="312299036">
          <w:marLeft w:val="0"/>
          <w:marRight w:val="0"/>
          <w:marTop w:val="0"/>
          <w:marBottom w:val="0"/>
          <w:divBdr>
            <w:top w:val="none" w:sz="0" w:space="0" w:color="auto"/>
            <w:left w:val="none" w:sz="0" w:space="0" w:color="auto"/>
            <w:bottom w:val="none" w:sz="0" w:space="0" w:color="auto"/>
            <w:right w:val="none" w:sz="0" w:space="0" w:color="auto"/>
          </w:divBdr>
          <w:divsChild>
            <w:div w:id="92006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567863">
      <w:bodyDiv w:val="1"/>
      <w:marLeft w:val="0"/>
      <w:marRight w:val="0"/>
      <w:marTop w:val="0"/>
      <w:marBottom w:val="0"/>
      <w:divBdr>
        <w:top w:val="none" w:sz="0" w:space="0" w:color="auto"/>
        <w:left w:val="none" w:sz="0" w:space="0" w:color="auto"/>
        <w:bottom w:val="none" w:sz="0" w:space="0" w:color="auto"/>
        <w:right w:val="none" w:sz="0" w:space="0" w:color="auto"/>
      </w:divBdr>
      <w:divsChild>
        <w:div w:id="1278487396">
          <w:marLeft w:val="0"/>
          <w:marRight w:val="0"/>
          <w:marTop w:val="0"/>
          <w:marBottom w:val="0"/>
          <w:divBdr>
            <w:top w:val="none" w:sz="0" w:space="0" w:color="auto"/>
            <w:left w:val="none" w:sz="0" w:space="0" w:color="auto"/>
            <w:bottom w:val="none" w:sz="0" w:space="0" w:color="auto"/>
            <w:right w:val="none" w:sz="0" w:space="0" w:color="auto"/>
          </w:divBdr>
          <w:divsChild>
            <w:div w:id="24025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922143">
      <w:bodyDiv w:val="1"/>
      <w:marLeft w:val="0"/>
      <w:marRight w:val="0"/>
      <w:marTop w:val="0"/>
      <w:marBottom w:val="0"/>
      <w:divBdr>
        <w:top w:val="none" w:sz="0" w:space="0" w:color="auto"/>
        <w:left w:val="none" w:sz="0" w:space="0" w:color="auto"/>
        <w:bottom w:val="none" w:sz="0" w:space="0" w:color="auto"/>
        <w:right w:val="none" w:sz="0" w:space="0" w:color="auto"/>
      </w:divBdr>
    </w:div>
    <w:div w:id="885603214">
      <w:bodyDiv w:val="1"/>
      <w:marLeft w:val="0"/>
      <w:marRight w:val="0"/>
      <w:marTop w:val="0"/>
      <w:marBottom w:val="0"/>
      <w:divBdr>
        <w:top w:val="none" w:sz="0" w:space="0" w:color="auto"/>
        <w:left w:val="none" w:sz="0" w:space="0" w:color="auto"/>
        <w:bottom w:val="none" w:sz="0" w:space="0" w:color="auto"/>
        <w:right w:val="none" w:sz="0" w:space="0" w:color="auto"/>
      </w:divBdr>
    </w:div>
    <w:div w:id="905188367">
      <w:bodyDiv w:val="1"/>
      <w:marLeft w:val="0"/>
      <w:marRight w:val="0"/>
      <w:marTop w:val="0"/>
      <w:marBottom w:val="0"/>
      <w:divBdr>
        <w:top w:val="none" w:sz="0" w:space="0" w:color="auto"/>
        <w:left w:val="none" w:sz="0" w:space="0" w:color="auto"/>
        <w:bottom w:val="none" w:sz="0" w:space="0" w:color="auto"/>
        <w:right w:val="none" w:sz="0" w:space="0" w:color="auto"/>
      </w:divBdr>
    </w:div>
    <w:div w:id="914900389">
      <w:bodyDiv w:val="1"/>
      <w:marLeft w:val="0"/>
      <w:marRight w:val="0"/>
      <w:marTop w:val="0"/>
      <w:marBottom w:val="0"/>
      <w:divBdr>
        <w:top w:val="none" w:sz="0" w:space="0" w:color="auto"/>
        <w:left w:val="none" w:sz="0" w:space="0" w:color="auto"/>
        <w:bottom w:val="none" w:sz="0" w:space="0" w:color="auto"/>
        <w:right w:val="none" w:sz="0" w:space="0" w:color="auto"/>
      </w:divBdr>
    </w:div>
    <w:div w:id="990985017">
      <w:bodyDiv w:val="1"/>
      <w:marLeft w:val="0"/>
      <w:marRight w:val="0"/>
      <w:marTop w:val="0"/>
      <w:marBottom w:val="0"/>
      <w:divBdr>
        <w:top w:val="none" w:sz="0" w:space="0" w:color="auto"/>
        <w:left w:val="none" w:sz="0" w:space="0" w:color="auto"/>
        <w:bottom w:val="none" w:sz="0" w:space="0" w:color="auto"/>
        <w:right w:val="none" w:sz="0" w:space="0" w:color="auto"/>
      </w:divBdr>
    </w:div>
    <w:div w:id="1046678844">
      <w:bodyDiv w:val="1"/>
      <w:marLeft w:val="0"/>
      <w:marRight w:val="0"/>
      <w:marTop w:val="0"/>
      <w:marBottom w:val="0"/>
      <w:divBdr>
        <w:top w:val="none" w:sz="0" w:space="0" w:color="auto"/>
        <w:left w:val="none" w:sz="0" w:space="0" w:color="auto"/>
        <w:bottom w:val="none" w:sz="0" w:space="0" w:color="auto"/>
        <w:right w:val="none" w:sz="0" w:space="0" w:color="auto"/>
      </w:divBdr>
      <w:divsChild>
        <w:div w:id="1935169160">
          <w:marLeft w:val="0"/>
          <w:marRight w:val="0"/>
          <w:marTop w:val="0"/>
          <w:marBottom w:val="0"/>
          <w:divBdr>
            <w:top w:val="none" w:sz="0" w:space="0" w:color="auto"/>
            <w:left w:val="none" w:sz="0" w:space="0" w:color="auto"/>
            <w:bottom w:val="none" w:sz="0" w:space="0" w:color="auto"/>
            <w:right w:val="none" w:sz="0" w:space="0" w:color="auto"/>
          </w:divBdr>
          <w:divsChild>
            <w:div w:id="12913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188975">
      <w:bodyDiv w:val="1"/>
      <w:marLeft w:val="0"/>
      <w:marRight w:val="0"/>
      <w:marTop w:val="0"/>
      <w:marBottom w:val="0"/>
      <w:divBdr>
        <w:top w:val="none" w:sz="0" w:space="0" w:color="auto"/>
        <w:left w:val="none" w:sz="0" w:space="0" w:color="auto"/>
        <w:bottom w:val="none" w:sz="0" w:space="0" w:color="auto"/>
        <w:right w:val="none" w:sz="0" w:space="0" w:color="auto"/>
      </w:divBdr>
    </w:div>
    <w:div w:id="1069619207">
      <w:bodyDiv w:val="1"/>
      <w:marLeft w:val="0"/>
      <w:marRight w:val="0"/>
      <w:marTop w:val="0"/>
      <w:marBottom w:val="0"/>
      <w:divBdr>
        <w:top w:val="none" w:sz="0" w:space="0" w:color="auto"/>
        <w:left w:val="none" w:sz="0" w:space="0" w:color="auto"/>
        <w:bottom w:val="none" w:sz="0" w:space="0" w:color="auto"/>
        <w:right w:val="none" w:sz="0" w:space="0" w:color="auto"/>
      </w:divBdr>
    </w:div>
    <w:div w:id="1079594669">
      <w:bodyDiv w:val="1"/>
      <w:marLeft w:val="0"/>
      <w:marRight w:val="0"/>
      <w:marTop w:val="0"/>
      <w:marBottom w:val="0"/>
      <w:divBdr>
        <w:top w:val="none" w:sz="0" w:space="0" w:color="auto"/>
        <w:left w:val="none" w:sz="0" w:space="0" w:color="auto"/>
        <w:bottom w:val="none" w:sz="0" w:space="0" w:color="auto"/>
        <w:right w:val="none" w:sz="0" w:space="0" w:color="auto"/>
      </w:divBdr>
    </w:div>
    <w:div w:id="1108503571">
      <w:bodyDiv w:val="1"/>
      <w:marLeft w:val="0"/>
      <w:marRight w:val="0"/>
      <w:marTop w:val="0"/>
      <w:marBottom w:val="0"/>
      <w:divBdr>
        <w:top w:val="none" w:sz="0" w:space="0" w:color="auto"/>
        <w:left w:val="none" w:sz="0" w:space="0" w:color="auto"/>
        <w:bottom w:val="none" w:sz="0" w:space="0" w:color="auto"/>
        <w:right w:val="none" w:sz="0" w:space="0" w:color="auto"/>
      </w:divBdr>
    </w:div>
    <w:div w:id="1125277235">
      <w:bodyDiv w:val="1"/>
      <w:marLeft w:val="0"/>
      <w:marRight w:val="0"/>
      <w:marTop w:val="0"/>
      <w:marBottom w:val="0"/>
      <w:divBdr>
        <w:top w:val="none" w:sz="0" w:space="0" w:color="auto"/>
        <w:left w:val="none" w:sz="0" w:space="0" w:color="auto"/>
        <w:bottom w:val="none" w:sz="0" w:space="0" w:color="auto"/>
        <w:right w:val="none" w:sz="0" w:space="0" w:color="auto"/>
      </w:divBdr>
    </w:div>
    <w:div w:id="1142967578">
      <w:bodyDiv w:val="1"/>
      <w:marLeft w:val="0"/>
      <w:marRight w:val="0"/>
      <w:marTop w:val="0"/>
      <w:marBottom w:val="0"/>
      <w:divBdr>
        <w:top w:val="none" w:sz="0" w:space="0" w:color="auto"/>
        <w:left w:val="none" w:sz="0" w:space="0" w:color="auto"/>
        <w:bottom w:val="none" w:sz="0" w:space="0" w:color="auto"/>
        <w:right w:val="none" w:sz="0" w:space="0" w:color="auto"/>
      </w:divBdr>
    </w:div>
    <w:div w:id="1161461343">
      <w:bodyDiv w:val="1"/>
      <w:marLeft w:val="0"/>
      <w:marRight w:val="0"/>
      <w:marTop w:val="0"/>
      <w:marBottom w:val="0"/>
      <w:divBdr>
        <w:top w:val="none" w:sz="0" w:space="0" w:color="auto"/>
        <w:left w:val="none" w:sz="0" w:space="0" w:color="auto"/>
        <w:bottom w:val="none" w:sz="0" w:space="0" w:color="auto"/>
        <w:right w:val="none" w:sz="0" w:space="0" w:color="auto"/>
      </w:divBdr>
    </w:div>
    <w:div w:id="1167209372">
      <w:bodyDiv w:val="1"/>
      <w:marLeft w:val="0"/>
      <w:marRight w:val="0"/>
      <w:marTop w:val="0"/>
      <w:marBottom w:val="0"/>
      <w:divBdr>
        <w:top w:val="none" w:sz="0" w:space="0" w:color="auto"/>
        <w:left w:val="none" w:sz="0" w:space="0" w:color="auto"/>
        <w:bottom w:val="none" w:sz="0" w:space="0" w:color="auto"/>
        <w:right w:val="none" w:sz="0" w:space="0" w:color="auto"/>
      </w:divBdr>
    </w:div>
    <w:div w:id="1167481352">
      <w:bodyDiv w:val="1"/>
      <w:marLeft w:val="0"/>
      <w:marRight w:val="0"/>
      <w:marTop w:val="0"/>
      <w:marBottom w:val="0"/>
      <w:divBdr>
        <w:top w:val="none" w:sz="0" w:space="0" w:color="auto"/>
        <w:left w:val="none" w:sz="0" w:space="0" w:color="auto"/>
        <w:bottom w:val="none" w:sz="0" w:space="0" w:color="auto"/>
        <w:right w:val="none" w:sz="0" w:space="0" w:color="auto"/>
      </w:divBdr>
    </w:div>
    <w:div w:id="1193229454">
      <w:bodyDiv w:val="1"/>
      <w:marLeft w:val="0"/>
      <w:marRight w:val="0"/>
      <w:marTop w:val="0"/>
      <w:marBottom w:val="0"/>
      <w:divBdr>
        <w:top w:val="none" w:sz="0" w:space="0" w:color="auto"/>
        <w:left w:val="none" w:sz="0" w:space="0" w:color="auto"/>
        <w:bottom w:val="none" w:sz="0" w:space="0" w:color="auto"/>
        <w:right w:val="none" w:sz="0" w:space="0" w:color="auto"/>
      </w:divBdr>
    </w:div>
    <w:div w:id="1194078141">
      <w:bodyDiv w:val="1"/>
      <w:marLeft w:val="0"/>
      <w:marRight w:val="0"/>
      <w:marTop w:val="0"/>
      <w:marBottom w:val="0"/>
      <w:divBdr>
        <w:top w:val="none" w:sz="0" w:space="0" w:color="auto"/>
        <w:left w:val="none" w:sz="0" w:space="0" w:color="auto"/>
        <w:bottom w:val="none" w:sz="0" w:space="0" w:color="auto"/>
        <w:right w:val="none" w:sz="0" w:space="0" w:color="auto"/>
      </w:divBdr>
    </w:div>
    <w:div w:id="1278877811">
      <w:bodyDiv w:val="1"/>
      <w:marLeft w:val="0"/>
      <w:marRight w:val="0"/>
      <w:marTop w:val="0"/>
      <w:marBottom w:val="0"/>
      <w:divBdr>
        <w:top w:val="none" w:sz="0" w:space="0" w:color="auto"/>
        <w:left w:val="none" w:sz="0" w:space="0" w:color="auto"/>
        <w:bottom w:val="none" w:sz="0" w:space="0" w:color="auto"/>
        <w:right w:val="none" w:sz="0" w:space="0" w:color="auto"/>
      </w:divBdr>
    </w:div>
    <w:div w:id="1309745472">
      <w:bodyDiv w:val="1"/>
      <w:marLeft w:val="0"/>
      <w:marRight w:val="0"/>
      <w:marTop w:val="0"/>
      <w:marBottom w:val="0"/>
      <w:divBdr>
        <w:top w:val="none" w:sz="0" w:space="0" w:color="auto"/>
        <w:left w:val="none" w:sz="0" w:space="0" w:color="auto"/>
        <w:bottom w:val="none" w:sz="0" w:space="0" w:color="auto"/>
        <w:right w:val="none" w:sz="0" w:space="0" w:color="auto"/>
      </w:divBdr>
      <w:divsChild>
        <w:div w:id="1870608627">
          <w:marLeft w:val="0"/>
          <w:marRight w:val="0"/>
          <w:marTop w:val="0"/>
          <w:marBottom w:val="0"/>
          <w:divBdr>
            <w:top w:val="none" w:sz="0" w:space="0" w:color="auto"/>
            <w:left w:val="none" w:sz="0" w:space="0" w:color="auto"/>
            <w:bottom w:val="none" w:sz="0" w:space="0" w:color="auto"/>
            <w:right w:val="none" w:sz="0" w:space="0" w:color="auto"/>
          </w:divBdr>
          <w:divsChild>
            <w:div w:id="5998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207928">
      <w:bodyDiv w:val="1"/>
      <w:marLeft w:val="0"/>
      <w:marRight w:val="0"/>
      <w:marTop w:val="0"/>
      <w:marBottom w:val="0"/>
      <w:divBdr>
        <w:top w:val="none" w:sz="0" w:space="0" w:color="auto"/>
        <w:left w:val="none" w:sz="0" w:space="0" w:color="auto"/>
        <w:bottom w:val="none" w:sz="0" w:space="0" w:color="auto"/>
        <w:right w:val="none" w:sz="0" w:space="0" w:color="auto"/>
      </w:divBdr>
    </w:div>
    <w:div w:id="1430347297">
      <w:bodyDiv w:val="1"/>
      <w:marLeft w:val="0"/>
      <w:marRight w:val="0"/>
      <w:marTop w:val="0"/>
      <w:marBottom w:val="0"/>
      <w:divBdr>
        <w:top w:val="none" w:sz="0" w:space="0" w:color="auto"/>
        <w:left w:val="none" w:sz="0" w:space="0" w:color="auto"/>
        <w:bottom w:val="none" w:sz="0" w:space="0" w:color="auto"/>
        <w:right w:val="none" w:sz="0" w:space="0" w:color="auto"/>
      </w:divBdr>
    </w:div>
    <w:div w:id="1455716194">
      <w:bodyDiv w:val="1"/>
      <w:marLeft w:val="0"/>
      <w:marRight w:val="0"/>
      <w:marTop w:val="0"/>
      <w:marBottom w:val="0"/>
      <w:divBdr>
        <w:top w:val="none" w:sz="0" w:space="0" w:color="auto"/>
        <w:left w:val="none" w:sz="0" w:space="0" w:color="auto"/>
        <w:bottom w:val="none" w:sz="0" w:space="0" w:color="auto"/>
        <w:right w:val="none" w:sz="0" w:space="0" w:color="auto"/>
      </w:divBdr>
      <w:divsChild>
        <w:div w:id="75176157">
          <w:marLeft w:val="0"/>
          <w:marRight w:val="0"/>
          <w:marTop w:val="0"/>
          <w:marBottom w:val="0"/>
          <w:divBdr>
            <w:top w:val="none" w:sz="0" w:space="0" w:color="auto"/>
            <w:left w:val="none" w:sz="0" w:space="0" w:color="auto"/>
            <w:bottom w:val="none" w:sz="0" w:space="0" w:color="auto"/>
            <w:right w:val="none" w:sz="0" w:space="0" w:color="auto"/>
          </w:divBdr>
          <w:divsChild>
            <w:div w:id="2014071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8735548">
      <w:bodyDiv w:val="1"/>
      <w:marLeft w:val="0"/>
      <w:marRight w:val="0"/>
      <w:marTop w:val="0"/>
      <w:marBottom w:val="0"/>
      <w:divBdr>
        <w:top w:val="none" w:sz="0" w:space="0" w:color="auto"/>
        <w:left w:val="none" w:sz="0" w:space="0" w:color="auto"/>
        <w:bottom w:val="none" w:sz="0" w:space="0" w:color="auto"/>
        <w:right w:val="none" w:sz="0" w:space="0" w:color="auto"/>
      </w:divBdr>
    </w:div>
    <w:div w:id="1639262712">
      <w:bodyDiv w:val="1"/>
      <w:marLeft w:val="0"/>
      <w:marRight w:val="0"/>
      <w:marTop w:val="0"/>
      <w:marBottom w:val="0"/>
      <w:divBdr>
        <w:top w:val="none" w:sz="0" w:space="0" w:color="auto"/>
        <w:left w:val="none" w:sz="0" w:space="0" w:color="auto"/>
        <w:bottom w:val="none" w:sz="0" w:space="0" w:color="auto"/>
        <w:right w:val="none" w:sz="0" w:space="0" w:color="auto"/>
      </w:divBdr>
    </w:div>
    <w:div w:id="1655451846">
      <w:bodyDiv w:val="1"/>
      <w:marLeft w:val="0"/>
      <w:marRight w:val="0"/>
      <w:marTop w:val="0"/>
      <w:marBottom w:val="0"/>
      <w:divBdr>
        <w:top w:val="none" w:sz="0" w:space="0" w:color="auto"/>
        <w:left w:val="none" w:sz="0" w:space="0" w:color="auto"/>
        <w:bottom w:val="none" w:sz="0" w:space="0" w:color="auto"/>
        <w:right w:val="none" w:sz="0" w:space="0" w:color="auto"/>
      </w:divBdr>
    </w:div>
    <w:div w:id="1669672939">
      <w:bodyDiv w:val="1"/>
      <w:marLeft w:val="0"/>
      <w:marRight w:val="0"/>
      <w:marTop w:val="0"/>
      <w:marBottom w:val="0"/>
      <w:divBdr>
        <w:top w:val="none" w:sz="0" w:space="0" w:color="auto"/>
        <w:left w:val="none" w:sz="0" w:space="0" w:color="auto"/>
        <w:bottom w:val="none" w:sz="0" w:space="0" w:color="auto"/>
        <w:right w:val="none" w:sz="0" w:space="0" w:color="auto"/>
      </w:divBdr>
    </w:div>
    <w:div w:id="1785804311">
      <w:bodyDiv w:val="1"/>
      <w:marLeft w:val="0"/>
      <w:marRight w:val="0"/>
      <w:marTop w:val="0"/>
      <w:marBottom w:val="0"/>
      <w:divBdr>
        <w:top w:val="none" w:sz="0" w:space="0" w:color="auto"/>
        <w:left w:val="none" w:sz="0" w:space="0" w:color="auto"/>
        <w:bottom w:val="none" w:sz="0" w:space="0" w:color="auto"/>
        <w:right w:val="none" w:sz="0" w:space="0" w:color="auto"/>
      </w:divBdr>
      <w:divsChild>
        <w:div w:id="1445147204">
          <w:marLeft w:val="0"/>
          <w:marRight w:val="0"/>
          <w:marTop w:val="0"/>
          <w:marBottom w:val="0"/>
          <w:divBdr>
            <w:top w:val="none" w:sz="0" w:space="0" w:color="auto"/>
            <w:left w:val="none" w:sz="0" w:space="0" w:color="auto"/>
            <w:bottom w:val="none" w:sz="0" w:space="0" w:color="auto"/>
            <w:right w:val="none" w:sz="0" w:space="0" w:color="auto"/>
          </w:divBdr>
          <w:divsChild>
            <w:div w:id="490098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215701">
      <w:bodyDiv w:val="1"/>
      <w:marLeft w:val="0"/>
      <w:marRight w:val="0"/>
      <w:marTop w:val="0"/>
      <w:marBottom w:val="0"/>
      <w:divBdr>
        <w:top w:val="none" w:sz="0" w:space="0" w:color="auto"/>
        <w:left w:val="none" w:sz="0" w:space="0" w:color="auto"/>
        <w:bottom w:val="none" w:sz="0" w:space="0" w:color="auto"/>
        <w:right w:val="none" w:sz="0" w:space="0" w:color="auto"/>
      </w:divBdr>
      <w:divsChild>
        <w:div w:id="2082750752">
          <w:marLeft w:val="0"/>
          <w:marRight w:val="0"/>
          <w:marTop w:val="0"/>
          <w:marBottom w:val="0"/>
          <w:divBdr>
            <w:top w:val="none" w:sz="0" w:space="0" w:color="auto"/>
            <w:left w:val="none" w:sz="0" w:space="0" w:color="auto"/>
            <w:bottom w:val="none" w:sz="0" w:space="0" w:color="auto"/>
            <w:right w:val="none" w:sz="0" w:space="0" w:color="auto"/>
          </w:divBdr>
          <w:divsChild>
            <w:div w:id="71397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817950">
      <w:bodyDiv w:val="1"/>
      <w:marLeft w:val="0"/>
      <w:marRight w:val="0"/>
      <w:marTop w:val="0"/>
      <w:marBottom w:val="0"/>
      <w:divBdr>
        <w:top w:val="none" w:sz="0" w:space="0" w:color="auto"/>
        <w:left w:val="none" w:sz="0" w:space="0" w:color="auto"/>
        <w:bottom w:val="none" w:sz="0" w:space="0" w:color="auto"/>
        <w:right w:val="none" w:sz="0" w:space="0" w:color="auto"/>
      </w:divBdr>
    </w:div>
    <w:div w:id="2022513715">
      <w:bodyDiv w:val="1"/>
      <w:marLeft w:val="0"/>
      <w:marRight w:val="0"/>
      <w:marTop w:val="0"/>
      <w:marBottom w:val="0"/>
      <w:divBdr>
        <w:top w:val="none" w:sz="0" w:space="0" w:color="auto"/>
        <w:left w:val="none" w:sz="0" w:space="0" w:color="auto"/>
        <w:bottom w:val="none" w:sz="0" w:space="0" w:color="auto"/>
        <w:right w:val="none" w:sz="0" w:space="0" w:color="auto"/>
      </w:divBdr>
    </w:div>
    <w:div w:id="2068143157">
      <w:bodyDiv w:val="1"/>
      <w:marLeft w:val="0"/>
      <w:marRight w:val="0"/>
      <w:marTop w:val="0"/>
      <w:marBottom w:val="0"/>
      <w:divBdr>
        <w:top w:val="none" w:sz="0" w:space="0" w:color="auto"/>
        <w:left w:val="none" w:sz="0" w:space="0" w:color="auto"/>
        <w:bottom w:val="none" w:sz="0" w:space="0" w:color="auto"/>
        <w:right w:val="none" w:sz="0" w:space="0" w:color="auto"/>
      </w:divBdr>
    </w:div>
    <w:div w:id="2088650423">
      <w:bodyDiv w:val="1"/>
      <w:marLeft w:val="0"/>
      <w:marRight w:val="0"/>
      <w:marTop w:val="0"/>
      <w:marBottom w:val="0"/>
      <w:divBdr>
        <w:top w:val="none" w:sz="0" w:space="0" w:color="auto"/>
        <w:left w:val="none" w:sz="0" w:space="0" w:color="auto"/>
        <w:bottom w:val="none" w:sz="0" w:space="0" w:color="auto"/>
        <w:right w:val="none" w:sz="0" w:space="0" w:color="auto"/>
      </w:divBdr>
      <w:divsChild>
        <w:div w:id="588662679">
          <w:marLeft w:val="0"/>
          <w:marRight w:val="0"/>
          <w:marTop w:val="0"/>
          <w:marBottom w:val="45"/>
          <w:divBdr>
            <w:top w:val="none" w:sz="0" w:space="0" w:color="auto"/>
            <w:left w:val="none" w:sz="0" w:space="0" w:color="auto"/>
            <w:bottom w:val="none" w:sz="0" w:space="0" w:color="auto"/>
            <w:right w:val="none" w:sz="0" w:space="0" w:color="auto"/>
          </w:divBdr>
        </w:div>
        <w:div w:id="726732702">
          <w:marLeft w:val="0"/>
          <w:marRight w:val="0"/>
          <w:marTop w:val="0"/>
          <w:marBottom w:val="45"/>
          <w:divBdr>
            <w:top w:val="none" w:sz="0" w:space="0" w:color="auto"/>
            <w:left w:val="none" w:sz="0" w:space="0" w:color="auto"/>
            <w:bottom w:val="none" w:sz="0" w:space="0" w:color="auto"/>
            <w:right w:val="none" w:sz="0" w:space="0" w:color="auto"/>
          </w:divBdr>
        </w:div>
        <w:div w:id="1785034938">
          <w:marLeft w:val="0"/>
          <w:marRight w:val="0"/>
          <w:marTop w:val="0"/>
          <w:marBottom w:val="45"/>
          <w:divBdr>
            <w:top w:val="none" w:sz="0" w:space="0" w:color="auto"/>
            <w:left w:val="none" w:sz="0" w:space="0" w:color="auto"/>
            <w:bottom w:val="none" w:sz="0" w:space="0" w:color="auto"/>
            <w:right w:val="none" w:sz="0" w:space="0" w:color="auto"/>
          </w:divBdr>
        </w:div>
        <w:div w:id="2038967318">
          <w:marLeft w:val="0"/>
          <w:marRight w:val="0"/>
          <w:marTop w:val="0"/>
          <w:marBottom w:val="45"/>
          <w:divBdr>
            <w:top w:val="none" w:sz="0" w:space="0" w:color="auto"/>
            <w:left w:val="none" w:sz="0" w:space="0" w:color="auto"/>
            <w:bottom w:val="none" w:sz="0" w:space="0" w:color="auto"/>
            <w:right w:val="none" w:sz="0" w:space="0" w:color="auto"/>
          </w:divBdr>
        </w:div>
      </w:divsChild>
    </w:div>
    <w:div w:id="2099935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cancer.sanger.ac.uk/cosmic/search?q=COSM476"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hgvs.org/mutnomen" TargetMode="External"/><Relationship Id="rId4" Type="http://schemas.openxmlformats.org/officeDocument/2006/relationships/settings" Target="settings.xml"/><Relationship Id="rId9" Type="http://schemas.openxmlformats.org/officeDocument/2006/relationships/hyperlink" Target="https://cancer.sanger.ac.uk/cosmic/search?q=COSM476" TargetMode="External"/><Relationship Id="rId14" Type="http://schemas.openxmlformats.org/officeDocument/2006/relationships/theme" Target="theme/theme1.xml"/><Relationship Id="rId15" Type="http://schemas.openxmlformats.org/officeDocument/2006/relationships/hyperlink" Target="https://www.ncbi.nlm.nih.gov/pubmed/27979383" TargetMode="External"/><Relationship Id="rId16" Type="http://schemas.openxmlformats.org/officeDocument/2006/relationships/hyperlink" Target="https://www.ncbi.nlm.nih.gov/pubmed/28885881" TargetMode="External"/><Relationship Id="rId17" Type="http://schemas.openxmlformats.org/officeDocument/2006/relationships/hyperlink" Target="https://www.ncbi.nlm.nih.gov/pubmed/30280658" TargetMode="External"/><Relationship Id="rId18" Type="http://schemas.openxmlformats.org/officeDocument/2006/relationships/hyperlink" Target="https://www.ncbi.nlm.nih.gov/pubmed/32209338" TargetMode="External"/><Relationship Id="rId19" Type="http://schemas.openxmlformats.org/officeDocument/2006/relationships/hyperlink" Target="https://www.ncbi.nlm.nih.gov/pubmed/33583206" TargetMode="External"/><Relationship Id="rId20" Type="http://schemas.openxmlformats.org/officeDocument/2006/relationships/hyperlink" Target="https://www.ncbi.nlm.nih.gov/pubmed/34731446" TargetMode="External"/><Relationship Id="rId21" Type="http://schemas.openxmlformats.org/officeDocument/2006/relationships/hyperlink" Target="https://www.ncbi.nlm.nih.gov/pubmed/35403841" TargetMode="External"/><Relationship Id="rId22" Type="http://schemas.openxmlformats.org/officeDocument/2006/relationships/hyperlink" Target="https://www.ncbi.nlm.nih.gov/pubmed/26028407" TargetMode="External"/><Relationship Id="rId23" Type="http://schemas.openxmlformats.org/officeDocument/2006/relationships/hyperlink" Target="https://www.ncbi.nlm.nih.gov/pubmed/26412456" TargetMode="External"/><Relationship Id="rId24" Type="http://schemas.openxmlformats.org/officeDocument/2006/relationships/hyperlink" Target="https://www.ncbi.nlm.nih.gov/pubmed/29023213" TargetMode="External"/><Relationship Id="rId25" Type="http://schemas.openxmlformats.org/officeDocument/2006/relationships/hyperlink" Target="https://www.ncbi.nlm.nih.gov/pubmed/33449799" TargetMode="External"/><Relationship Id="rId26" Type="http://schemas.openxmlformats.org/officeDocument/2006/relationships/hyperlink" Target="https://www.ncbi.nlm.nih.gov/pubmed/34937915" TargetMode="External"/><Relationship Id="rId27" Type="http://schemas.openxmlformats.org/officeDocument/2006/relationships/hyperlink" Target="https://www.ncbi.nlm.nih.gov/pubmed/28878676" TargetMode="External"/><Relationship Id="rId28" Type="http://schemas.openxmlformats.org/officeDocument/2006/relationships/hyperlink" Target="https://www.ncbi.nlm.nih.gov/pubmed/23718298" TargetMode="External"/><Relationship Id="rId29" Type="http://schemas.openxmlformats.org/officeDocument/2006/relationships/hyperlink" Target="https://www.ncbi.nlm.nih.gov/pubmed/30314524" TargetMode="External"/><Relationship Id="rId30" Type="http://schemas.openxmlformats.org/officeDocument/2006/relationships/hyperlink" Target="https://www.ncbi.nlm.nih.gov/pubmed/27306885" TargetMode="External"/><Relationship Id="rId31" Type="http://schemas.openxmlformats.org/officeDocument/2006/relationships/hyperlink" Target="https://www.ncbi.nlm.nih.gov/pubmed/29191593" TargetMode="External"/><Relationship Id="rId32" Type="http://schemas.openxmlformats.org/officeDocument/2006/relationships/hyperlink" Target="https://www.ncbi.nlm.nih.gov/pubmed/24933332" TargetMode="External"/><Relationship Id="rId33" Type="http://schemas.openxmlformats.org/officeDocument/2006/relationships/hyperlink" Target="https://www.ncbi.nlm.nih.gov/pubmed/23419196" TargetMode="External"/><Relationship Id="rId34" Type="http://schemas.openxmlformats.org/officeDocument/2006/relationships/hyperlink" Target="https://www.ncbi.nlm.nih.gov/pubmed/20688807" TargetMode="External"/><Relationship Id="rId35" Type="http://schemas.openxmlformats.org/officeDocument/2006/relationships/hyperlink" Target="https://www.ncbi.nlm.nih.gov/pubmed/32335505" TargetMode="External"/><Relationship Id="rId36" Type="http://schemas.openxmlformats.org/officeDocument/2006/relationships/hyperlink" Target="https://www.ncbi.nlm.nih.gov/pubmed/17167137" TargetMode="External"/><Relationship Id="rId37" Type="http://schemas.openxmlformats.org/officeDocument/2006/relationships/hyperlink" Target="https://www.ncbi.nlm.nih.gov/pubmed/17602060" TargetMode="External"/><Relationship Id="rId38" Type="http://schemas.openxmlformats.org/officeDocument/2006/relationships/hyperlink" Target="https://www.ncbi.nlm.nih.gov/pubmed/33725344" TargetMode="External"/><Relationship Id="rId39" Type="http://schemas.openxmlformats.org/officeDocument/2006/relationships/hyperlink" Target="https://www.ncbi.nlm.nih.gov/pubmed/20150572" TargetMode="External"/><Relationship Id="rId40" Type="http://schemas.openxmlformats.org/officeDocument/2006/relationships/hyperlink" Target="https://www.ncbi.nlm.nih.gov/pubmed/30392436" TargetMode="External"/><Relationship Id="rId41" Type="http://schemas.openxmlformats.org/officeDocument/2006/relationships/hyperlink" Target="https://www.ncbi.nlm.nih.gov/pubmed/29902295" TargetMode="External"/><Relationship Id="rId42" Type="http://schemas.openxmlformats.org/officeDocument/2006/relationships/hyperlink" Target="https://www.ncbi.nlm.nih.gov/pubmed/26156651" TargetMode="External"/><Relationship Id="rId43" Type="http://schemas.openxmlformats.org/officeDocument/2006/relationships/hyperlink" Target="https://www.ncbi.nlm.nih.gov/pubmed/33061419" TargetMode="External"/><Relationship Id="rId44" Type="http://schemas.openxmlformats.org/officeDocument/2006/relationships/hyperlink" Target="https://www.ncbi.nlm.nih.gov/pubmed/31432705" TargetMode="External"/><Relationship Id="rId45" Type="http://schemas.openxmlformats.org/officeDocument/2006/relationships/hyperlink" Target="https://www.ncbi.nlm.nih.gov/pubmed/30280635" TargetMode="External"/><Relationship Id="rId46" Type="http://schemas.openxmlformats.org/officeDocument/2006/relationships/hyperlink" Target="https://www.ncbi.nlm.nih.gov/pubmed/31751163" TargetMode="External"/><Relationship Id="rId47" Type="http://schemas.openxmlformats.org/officeDocument/2006/relationships/hyperlink" Target="https://www.ncbi.nlm.nih.gov/pubmed/18275813" TargetMode="External"/><Relationship Id="rId48" Type="http://schemas.openxmlformats.org/officeDocument/2006/relationships/hyperlink" Target="https://www.ncbi.nlm.nih.gov/pubmed/30025476" TargetMode="External"/><Relationship Id="rId49" Type="http://schemas.openxmlformats.org/officeDocument/2006/relationships/hyperlink" Target="https://www.ncbi.nlm.nih.gov/pubmed/26045340" TargetMode="External"/><Relationship Id="rId50" Type="http://schemas.openxmlformats.org/officeDocument/2006/relationships/hyperlink" Target="https://www.ncbi.nlm.nih.gov/pubmed/26980471" TargetMode="External"/><Relationship Id="rId51" Type="http://schemas.openxmlformats.org/officeDocument/2006/relationships/hyperlink" Target="https://www.ncbi.nlm.nih.gov/pubmed/25979928" TargetMode="External"/><Relationship Id="rId52" Type="http://schemas.openxmlformats.org/officeDocument/2006/relationships/hyperlink" Target="https://www.ncbi.nlm.nih.gov/pubmed/23470965" TargetMode="External"/><Relationship Id="rId53" Type="http://schemas.openxmlformats.org/officeDocument/2006/relationships/hyperlink" Target="https://www.ncbi.nlm.nih.gov/pubmed/25271963" TargetMode="External"/><Relationship Id="rId54" Type="http://schemas.openxmlformats.org/officeDocument/2006/relationships/hyperlink" Target="https://www.ncbi.nlm.nih.gov/pubmed/24101047" TargetMode="External"/><Relationship Id="rId55" Type="http://schemas.openxmlformats.org/officeDocument/2006/relationships/hyperlink" Target="https://www.ncbi.nlm.nih.gov/pubmed/15737014" TargetMode="External"/><Relationship Id="rId56" Type="http://schemas.openxmlformats.org/officeDocument/2006/relationships/hyperlink" Target="https://www.ncbi.nlm.nih.gov/pubmed/17020982" TargetMode="External"/><Relationship Id="rId57" Type="http://schemas.openxmlformats.org/officeDocument/2006/relationships/hyperlink" Target="https://www.ncbi.nlm.nih.gov/pubmed/19589612" TargetMode="External"/><Relationship Id="rId58" Type="http://schemas.openxmlformats.org/officeDocument/2006/relationships/hyperlink" Target="https://www.ncbi.nlm.nih.gov/pubmed/18227510" TargetMode="External"/><Relationship Id="rId59" Type="http://schemas.openxmlformats.org/officeDocument/2006/relationships/hyperlink" Target="https://www.ncbi.nlm.nih.gov/pubmed/15728811" TargetMode="External"/><Relationship Id="rId60" Type="http://schemas.openxmlformats.org/officeDocument/2006/relationships/hyperlink" Target="https://www.ncbi.nlm.nih.gov/pubmed/15897464" TargetMode="External"/><Relationship Id="rId61" Type="http://schemas.openxmlformats.org/officeDocument/2006/relationships/hyperlink" Target="https://www.ncbi.nlm.nih.gov/pubmed/31562956" TargetMode="External"/><Relationship Id="rId62" Type="http://schemas.openxmlformats.org/officeDocument/2006/relationships/hyperlink" Target="https://www.ncbi.nlm.nih.gov/pubmed/30108370" TargetMode="External"/><Relationship Id="rId63" Type="http://schemas.openxmlformats.org/officeDocument/2006/relationships/hyperlink" Target="https://www.ncbi.nlm.nih.gov/pubmed/16258541" TargetMode="External"/><Relationship Id="rId64" Type="http://schemas.openxmlformats.org/officeDocument/2006/relationships/hyperlink" Target="https://www.ncbi.nlm.nih.gov/pubmed/22588155" TargetMode="External"/><Relationship Id="rId65" Type="http://schemas.openxmlformats.org/officeDocument/2006/relationships/hyperlink" Target="https://www.ncbi.nlm.nih.gov/pubmed/24736066" TargetMode="External"/><Relationship Id="rId66" Type="http://schemas.openxmlformats.org/officeDocument/2006/relationships/hyperlink" Target="https://www.ncbi.nlm.nih.gov/pubmed/24478319" TargetMode="External"/><Relationship Id="rId67" Type="http://schemas.openxmlformats.org/officeDocument/2006/relationships/hyperlink" Target="https://www.ncbi.nlm.nih.gov/pubmed/22215752" TargetMode="External"/><Relationship Id="rId68" Type="http://schemas.openxmlformats.org/officeDocument/2006/relationships/hyperlink" Target="https://www.ncbi.nlm.nih.gov/pubmed/21233402" TargetMode="External"/><Relationship Id="rId69" Type="http://schemas.openxmlformats.org/officeDocument/2006/relationships/hyperlink" Target="https://www.ncbi.nlm.nih.gov/pubmed/24893891" TargetMode="External"/><Relationship Id="rId70" Type="http://schemas.openxmlformats.org/officeDocument/2006/relationships/hyperlink" Target="https://www.ncbi.nlm.nih.gov/pubmed/33392095" TargetMode="External"/><Relationship Id="rId71" Type="http://schemas.openxmlformats.org/officeDocument/2006/relationships/hyperlink" Target="https://www.ncbi.nlm.nih.gov/pubmed/27959700" TargetMode="External"/><Relationship Id="rId72" Type="http://schemas.openxmlformats.org/officeDocument/2006/relationships/hyperlink" Target="https://www.ncbi.nlm.nih.gov/pubmed/30527177" TargetMode="External"/><Relationship Id="rId73" Type="http://schemas.openxmlformats.org/officeDocument/2006/relationships/hyperlink" Target="https://www.ncbi.nlm.nih.gov/pubmed/32861806" TargetMode="External"/><Relationship Id="rId74" Type="http://schemas.openxmlformats.org/officeDocument/2006/relationships/hyperlink" Target="https://www.ncbi.nlm.nih.gov/pubmed/25923549" TargetMode="External"/><Relationship Id="rId75" Type="http://schemas.openxmlformats.org/officeDocument/2006/relationships/hyperlink" Target="https://www.ncbi.nlm.nih.gov/pubmed/28221867" TargetMode="External"/><Relationship Id="rId76" Type="http://schemas.openxmlformats.org/officeDocument/2006/relationships/hyperlink" Target="https://www.ncbi.nlm.nih.gov/pubmed/29151359" TargetMode="External"/><Relationship Id="rId77" Type="http://schemas.openxmlformats.org/officeDocument/2006/relationships/hyperlink" Target="https://www.ncbi.nlm.nih.gov/pubmed/29320658" TargetMode="External"/><Relationship Id="rId78" Type="http://schemas.openxmlformats.org/officeDocument/2006/relationships/hyperlink" Target="https://www.ncbi.nlm.nih.gov/pubmed/28149837" TargetMode="External"/><Relationship Id="rId79" Type="http://schemas.openxmlformats.org/officeDocument/2006/relationships/hyperlink" Target="https://www.ncbi.nlm.nih.gov/pubmed/33687763" TargetMode="External"/><Relationship Id="rId80" Type="http://schemas.openxmlformats.org/officeDocument/2006/relationships/hyperlink" Target="https://www.ncbi.nlm.nih.gov/pubmed/32764980" TargetMode="External"/><Relationship Id="rId81" Type="http://schemas.openxmlformats.org/officeDocument/2006/relationships/hyperlink" Target="https://www.ncbi.nlm.nih.gov/pubmed/35276342" TargetMode="External"/><Relationship Id="rId82" Type="http://schemas.openxmlformats.org/officeDocument/2006/relationships/hyperlink" Target="https://www.ncbi.nlm.nih.gov/pubmed/23493883" TargetMode="External"/><Relationship Id="rId83" Type="http://schemas.openxmlformats.org/officeDocument/2006/relationships/hyperlink" Target="https://www.ncbi.nlm.nih.gov/pubmed/18408761" TargetMode="External"/><Relationship Id="rId84" Type="http://schemas.openxmlformats.org/officeDocument/2006/relationships/hyperlink" Target="https://www.ncbi.nlm.nih.gov/pubmed/34638411" TargetMode="External"/><Relationship Id="rId85" Type="http://schemas.openxmlformats.org/officeDocument/2006/relationships/hyperlink" Target="https://www.ncbi.nlm.nih.gov/pubmed/33256089" TargetMode="External"/><Relationship Id="rId86" Type="http://schemas.openxmlformats.org/officeDocument/2006/relationships/hyperlink" Target="https://www.ncbi.nlm.nih.gov/pubmed/34184561" TargetMode="External"/><Relationship Id="rId87" Type="http://schemas.openxmlformats.org/officeDocument/2006/relationships/hyperlink" Target="https://www.ncbi.nlm.nih.gov/pubmed/33401585" TargetMode="External"/><Relationship Id="rId88" Type="http://schemas.openxmlformats.org/officeDocument/2006/relationships/hyperlink" Target="https://www.ncbi.nlm.nih.gov/pubmed/35101885" TargetMode="External"/><Relationship Id="rId89" Type="http://schemas.openxmlformats.org/officeDocument/2006/relationships/hyperlink" Target="https://www.ncbi.nlm.nih.gov/pubmed/34104805" TargetMode="External"/><Relationship Id="rId90" Type="http://schemas.openxmlformats.org/officeDocument/2006/relationships/hyperlink" Target="https://www.ncbi.nlm.nih.gov/pubmed/35062949" TargetMode="External"/><Relationship Id="rId91" Type="http://schemas.openxmlformats.org/officeDocument/2006/relationships/hyperlink" Target="https://www.ncbi.nlm.nih.gov/pubmed/31829747" TargetMode="External"/><Relationship Id="rId92" Type="http://schemas.openxmlformats.org/officeDocument/2006/relationships/hyperlink" Target="https://www.ncbi.nlm.nih.gov/pubmed/33427656" TargetMode="External"/><Relationship Id="rId93" Type="http://schemas.openxmlformats.org/officeDocument/2006/relationships/hyperlink" Target="https://www.ncbi.nlm.nih.gov/pubmed/35032007" TargetMode="External"/><Relationship Id="rId94" Type="http://schemas.openxmlformats.org/officeDocument/2006/relationships/hyperlink" Target="https://www.ncbi.nlm.nih.gov/pubmed/34956912" TargetMode="External"/><Relationship Id="rId95" Type="http://schemas.openxmlformats.org/officeDocument/2006/relationships/hyperlink" Target="https://www.ncbi.nlm.nih.gov/pubmed/35081747" TargetMode="External"/><Relationship Id="rId96" Type="http://schemas.openxmlformats.org/officeDocument/2006/relationships/hyperlink" Target="https://www.ncbi.nlm.nih.gov/pubmed/32534646" TargetMode="External"/><Relationship Id="rId97" Type="http://schemas.openxmlformats.org/officeDocument/2006/relationships/hyperlink" Target="https://www.ncbi.nlm.nih.gov/pubmed/35131452" TargetMode="External"/><Relationship Id="rId98" Type="http://schemas.openxmlformats.org/officeDocument/2006/relationships/hyperlink" Target="https://www.ncbi.nlm.nih.gov/pubmed/11970755" TargetMode="External"/><Relationship Id="rId99" Type="http://schemas.openxmlformats.org/officeDocument/2006/relationships/hyperlink" Target="https://www.ncbi.nlm.nih.gov/pubmed/25568148" TargetMode="External"/><Relationship Id="rId100" Type="http://schemas.openxmlformats.org/officeDocument/2006/relationships/hyperlink" Target="https://www.ncbi.nlm.nih.gov/pubmed/17212999" TargetMode="External"/><Relationship Id="rId101" Type="http://schemas.openxmlformats.org/officeDocument/2006/relationships/hyperlink" Target="https://www.ncbi.nlm.nih.gov/pubmed/19897538" TargetMode="External"/><Relationship Id="rId102" Type="http://schemas.openxmlformats.org/officeDocument/2006/relationships/hyperlink" Target="https://www.ncbi.nlm.nih.gov/pubmed/27748633" TargetMode="External"/><Relationship Id="rId103" Type="http://schemas.openxmlformats.org/officeDocument/2006/relationships/hyperlink" Target="https://www.ncbi.nlm.nih.gov/pubmed/15901587" TargetMode="External"/><Relationship Id="rId104" Type="http://schemas.openxmlformats.org/officeDocument/2006/relationships/hyperlink" Target="https://www.ncbi.nlm.nih.gov/pubmed/20061402" TargetMode="External"/><Relationship Id="rId105" Type="http://schemas.openxmlformats.org/officeDocument/2006/relationships/hyperlink" Target="https://www.ncbi.nlm.nih.gov/pubmed/24687829" TargetMode="External"/><Relationship Id="rId106" Type="http://schemas.openxmlformats.org/officeDocument/2006/relationships/hyperlink" Target="https://www.ncbi.nlm.nih.gov/pubmed/28438473" TargetMode="External"/><Relationship Id="rId107" Type="http://schemas.openxmlformats.org/officeDocument/2006/relationships/hyperlink" Target="https://www.ncbi.nlm.nih.gov/pubmed/32305099" TargetMode="External"/><Relationship Id="rId108" Type="http://schemas.openxmlformats.org/officeDocument/2006/relationships/hyperlink" Target="https://www.ncbi.nlm.nih.gov/pubmed/22204724" TargetMode="External"/><Relationship Id="rId109" Type="http://schemas.openxmlformats.org/officeDocument/2006/relationships/hyperlink" Target="https://www.ncbi.nlm.nih.gov/pubmed/31216226" TargetMode="External"/><Relationship Id="rId110" Type="http://schemas.openxmlformats.org/officeDocument/2006/relationships/hyperlink" Target="https://www.ncbi.nlm.nih.gov/pubmed/29863955" TargetMode="External"/><Relationship Id="rId111" Type="http://schemas.openxmlformats.org/officeDocument/2006/relationships/hyperlink" Target="https://www.ncbi.nlm.nih.gov/pubmed/34051880" TargetMode="External"/><Relationship Id="rId112" Type="http://schemas.openxmlformats.org/officeDocument/2006/relationships/hyperlink" Target="https://www.ncbi.nlm.nih.gov/pubmed/34189869" TargetMode="External"/><Relationship Id="rId113" Type="http://schemas.openxmlformats.org/officeDocument/2006/relationships/hyperlink" Target="https://www.ncbi.nlm.nih.gov/pubmed/34534429" TargetMode="External"/><Relationship Id="rId114" Type="http://schemas.openxmlformats.org/officeDocument/2006/relationships/hyperlink" Target="https://www.ncbi.nlm.nih.gov/pubmed/30075697" TargetMode="External"/><Relationship Id="rId115" Type="http://schemas.openxmlformats.org/officeDocument/2006/relationships/hyperlink" Target="https://www.ncbi.nlm.nih.gov/pubmed/33188892" TargetMode="External"/><Relationship Id="rId116" Type="http://schemas.openxmlformats.org/officeDocument/2006/relationships/hyperlink" Target="https://www.ncbi.nlm.nih.gov/pubmed/20197484" TargetMode="External"/><Relationship Id="rId117" Type="http://schemas.openxmlformats.org/officeDocument/2006/relationships/hyperlink" Target="https://www.ncbi.nlm.nih.gov/pubmed/31228284" TargetMode="External"/><Relationship Id="rId118" Type="http://schemas.openxmlformats.org/officeDocument/2006/relationships/hyperlink" Target="https://www.ncbi.nlm.nih.gov/pubmed/32793499" TargetMode="External"/><Relationship Id="rId119" Type="http://schemas.openxmlformats.org/officeDocument/2006/relationships/hyperlink" Target="https://www.ncbi.nlm.nih.gov/pubmed/32371296" TargetMode="External"/><Relationship Id="rId120" Type="http://schemas.openxmlformats.org/officeDocument/2006/relationships/hyperlink" Target="https://www.ncbi.nlm.nih.gov/pubmed/24094768" TargetMode="External"/><Relationship Id="rId121" Type="http://schemas.openxmlformats.org/officeDocument/2006/relationships/hyperlink" Target="https://www.ncbi.nlm.nih.gov/pubmed/25240821" TargetMode="External"/><Relationship Id="rId122" Type="http://schemas.openxmlformats.org/officeDocument/2006/relationships/hyperlink" Target="https://www.ncbi.nlm.nih.gov/pubmed/25877855" TargetMode="External"/><Relationship Id="rId123" Type="http://schemas.openxmlformats.org/officeDocument/2006/relationships/hyperlink" Target="https://www.ncbi.nlm.nih.gov/pubmed/31591063" TargetMode="External"/><Relationship Id="rId124" Type="http://schemas.openxmlformats.org/officeDocument/2006/relationships/hyperlink" Target="https://www.ncbi.nlm.nih.gov/pubmed/23803182" TargetMode="External"/><Relationship Id="rId125" Type="http://schemas.openxmlformats.org/officeDocument/2006/relationships/hyperlink" Target="https://www.ncbi.nlm.nih.gov/pubmed/31564718" TargetMode="External"/><Relationship Id="rId126" Type="http://schemas.openxmlformats.org/officeDocument/2006/relationships/hyperlink" Target="https://www.ncbi.nlm.nih.gov/pubmed/30128066" TargetMode="External"/><Relationship Id="rId127" Type="http://schemas.openxmlformats.org/officeDocument/2006/relationships/hyperlink" Target="https://www.ncbi.nlm.nih.gov/pubmed/18089823" TargetMode="External"/><Relationship Id="rId128" Type="http://schemas.openxmlformats.org/officeDocument/2006/relationships/hyperlink" Target="https://www.ncbi.nlm.nih.gov/pubmed/1285019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D4693A-AA7A-4781-9C01-BA9617AEF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1276</TotalTime>
  <Pages>7</Pages>
  <Words>1736</Words>
  <Characters>9898</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Gabe F. Rudy</dc:creator>
  <cp:keywords/>
  <dc:description/>
  <cp:lastModifiedBy>Nathan Fortier</cp:lastModifiedBy>
  <cp:revision>71</cp:revision>
  <cp:lastPrinted>2019-03-25T20:13:00Z</cp:lastPrinted>
  <dcterms:created xsi:type="dcterms:W3CDTF">2022-09-29T21:55:00Z</dcterms:created>
  <dcterms:modified xsi:type="dcterms:W3CDTF">2022-12-20T18:29:00Z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623f06c8100f1446058b1dc70a7167503b9a0763117a3d0a7ab337d440f71d87</vt:lpwstr>
  </property>
</Properties>
</file>