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single" w:sz="6" w:space="0" w:color="7F7F7F" w:themeColor="text1" w:themeTint="80"/>
          <w:left w:val="none" w:sz="0" w:space="0" w:color="auto"/>
          <w:bottom w:val="single" w:sz="6" w:space="0" w:color="7F7F7F" w:themeColor="text1" w:themeTint="80"/>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3596"/>
        <w:gridCol w:w="3597"/>
        <w:gridCol w:w="3597"/>
      </w:tblGrid>
      <w:tr w:rsidR="005A5570" w14:paraId="4FF103A7" w14:textId="77777777">
        <w:tc>
          <w:tcPr>
            <w:tcW w:w="3596" w:type="dxa"/>
            <w:shd w:val="clear" w:color="auto" w:fill="F2F2F2" w:themeFill="background1" w:themeFillShade="F2"/>
          </w:tcPr>
          <w:p w14:paraId="6DE78E4F" w14:textId="77777777" w:rsidR="005A5570" w:rsidRPr="00CA2C0B" w:rsidRDefault="005A5570" w:rsidP="005A5570">
            <w:pPr>
              <w:pStyle w:val="Heading2"/>
              <w:spacing w:before="0" w:after="120"/>
              <w:outlineLvl w:val="1"/>
              <w:rPr>
                <w:color w:val="7F7F7F" w:themeColor="text1" w:themeTint="80"/>
              </w:rPr>
            </w:pPr>
            <w:r>
              <w:rPr>
                <w:color w:val="7F7F7F" w:themeColor="text1" w:themeTint="80"/>
                <w:lang w:val="fr-FR"/>
              </w:rPr>
              <w:t/>
            </w:r>
            <w:r w:rsidRPr="00A820FA">
              <w:rPr>
                <w:color w:val="7F7F7F" w:themeColor="text1" w:themeTint="80"/>
                <w:lang w:val="fr-FR"/>
              </w:rPr>
              <w:t xml:space="preserve">Patient Information</w:t>
            </w:r>
          </w:p>
          <w:p w14:paraId="674B5D3D" w14:textId="77777777" w:rsidR="005A5570" w:rsidRPr="00CF14A2" w:rsidRDefault="005A5570" w:rsidP="005A5570">
            <w:pPr>
              <w:tabs>
                <w:tab w:val="left" w:pos="1693"/>
              </w:tabs>
              <w:rPr>
                <w:sz w:val="20"/>
                <w:szCs w:val="20"/>
              </w:rPr>
            </w:pPr>
            <w:r w:rsidRPr="00CF14A2">
              <w:rPr>
                <w:b/>
                <w:sz w:val="20"/>
                <w:szCs w:val="20"/>
              </w:rPr>
              <w:t xml:space="preserve">Patient Name</w:t>
            </w:r>
            <w:r w:rsidRPr="00CF14A2">
              <w:rPr>
                <w:sz w:val="20"/>
                <w:szCs w:val="20"/>
              </w:rPr>
              <w:tab/>
            </w:r>
            <w:r>
              <w:rPr>
                <w:sz w:val="20"/>
                <w:szCs w:val="20"/>
              </w:rPr>
              <w:t xml:space="preserve">S1</w:t>
            </w:r>
            <w:proofErr w:type="spellStart"/>
            <w:r>
              <w:rPr>
                <w:sz w:val="20"/>
                <w:szCs w:val="20"/>
              </w:rPr>
              <w:t/>
            </w:r>
            <w:proofErr w:type="spellEnd"/>
            <w:r>
              <w:rPr>
                <w:sz w:val="20"/>
                <w:szCs w:val="20"/>
              </w:rPr>
              <w:t/>
            </w:r>
          </w:p>
          <w:p w14:paraId="5144E6C5" w14:textId="77777777" w:rsidR="005A5570" w:rsidRPr="00CF14A2" w:rsidRDefault="005A5570" w:rsidP="005A5570">
            <w:pPr>
              <w:tabs>
                <w:tab w:val="left" w:pos="1693"/>
              </w:tabs>
              <w:rPr>
                <w:sz w:val="20"/>
                <w:szCs w:val="20"/>
              </w:rPr>
            </w:pPr>
            <w:r w:rsidRPr="00CF14A2">
              <w:rPr>
                <w:b/>
                <w:sz w:val="20"/>
                <w:szCs w:val="20"/>
              </w:rPr>
              <w:t xml:space="preserve">DOB</w:t>
            </w:r>
            <w:r w:rsidRPr="00CF14A2">
              <w:rPr>
                <w:sz w:val="20"/>
                <w:szCs w:val="20"/>
              </w:rPr>
              <w:tab/>
            </w:r>
            <w:r>
              <w:rPr>
                <w:sz w:val="20"/>
                <w:szCs w:val="20"/>
              </w:rPr>
              <w:t/>
            </w:r>
          </w:p>
          <w:p w14:paraId="5B55E5D6" w14:textId="77777777" w:rsidR="005A5570" w:rsidRPr="00CF14A2" w:rsidRDefault="005A5570" w:rsidP="005A5570">
            <w:pPr>
              <w:tabs>
                <w:tab w:val="left" w:pos="1693"/>
              </w:tabs>
              <w:rPr>
                <w:sz w:val="20"/>
                <w:szCs w:val="20"/>
              </w:rPr>
            </w:pPr>
            <w:r w:rsidRPr="00CF14A2">
              <w:rPr>
                <w:b/>
                <w:sz w:val="20"/>
                <w:szCs w:val="20"/>
              </w:rPr>
              <w:t xml:space="preserve">Sex</w:t>
            </w:r>
            <w:r w:rsidRPr="00CF14A2">
              <w:rPr>
                <w:sz w:val="20"/>
                <w:szCs w:val="20"/>
              </w:rPr>
              <w:tab/>
            </w:r>
            <w:r>
              <w:rPr>
                <w:sz w:val="20"/>
                <w:szCs w:val="20"/>
              </w:rPr>
              <w:t xml:space="preserve">Unknown</w:t>
            </w:r>
          </w:p>
          <w:p w14:paraId="6EB87329" w14:textId="095F2D85" w:rsidR="005A5570" w:rsidRDefault="005A5570" w:rsidP="005A5570">
            <w:pPr>
              <w:tabs>
                <w:tab w:val="left" w:pos="1693"/>
              </w:tabs>
            </w:pPr>
            <w:r w:rsidRPr="00CF14A2">
              <w:rPr>
                <w:b/>
                <w:sz w:val="20"/>
                <w:szCs w:val="20"/>
              </w:rPr>
              <w:t xml:space="preserve">MRN</w:t>
            </w:r>
            <w:r w:rsidRPr="00CF14A2">
              <w:rPr>
                <w:sz w:val="20"/>
                <w:szCs w:val="20"/>
              </w:rPr>
              <w:tab/>
            </w:r>
            <w:r>
              <w:rPr>
                <w:sz w:val="20"/>
                <w:szCs w:val="20"/>
              </w:rPr>
              <w:t xml:space="preserve">18513</w:t>
            </w:r>
            <w:proofErr w:type="spellStart"/>
            <w:r>
              <w:rPr>
                <w:sz w:val="20"/>
                <w:szCs w:val="20"/>
              </w:rPr>
              <w:t/>
            </w:r>
            <w:proofErr w:type="spellEnd"/>
            <w:r>
              <w:rPr>
                <w:sz w:val="20"/>
                <w:szCs w:val="20"/>
              </w:rPr>
              <w:t/>
            </w:r>
          </w:p>
        </w:tc>
        <w:tc>
          <w:tcPr>
            <w:tcW w:w="3597" w:type="dxa"/>
            <w:shd w:val="clear" w:color="auto" w:fill="F2F2F2" w:themeFill="background1" w:themeFillShade="F2"/>
          </w:tcPr>
          <w:p w14:paraId="7FF07A26" w14:textId="77777777" w:rsidR="005A5570" w:rsidRPr="00F10FBB" w:rsidRDefault="005A5570" w:rsidP="005A5570">
            <w:pPr>
              <w:pStyle w:val="Heading2"/>
              <w:spacing w:before="0" w:after="120"/>
              <w:outlineLvl w:val="1"/>
              <w:rPr>
                <w:color w:val="7F7F7F" w:themeColor="text1" w:themeTint="80"/>
              </w:rPr>
            </w:pPr>
            <w:r>
              <w:rPr>
                <w:color w:val="7F7F7F" w:themeColor="text1" w:themeTint="80"/>
              </w:rPr>
              <w:t xml:space="preserve">Reference</w:t>
            </w:r>
            <w:r w:rsidRPr="00F10FBB">
              <w:rPr>
                <w:color w:val="7F7F7F" w:themeColor="text1" w:themeTint="80"/>
              </w:rPr>
              <w:t xml:space="preserve"> Info</w:t>
            </w:r>
            <w:r>
              <w:rPr>
                <w:color w:val="7F7F7F" w:themeColor="text1" w:themeTint="80"/>
              </w:rPr>
              <w:t xml:space="preserve">rmation</w:t>
            </w:r>
          </w:p>
          <w:p w14:paraId="478B0056" w14:textId="77777777" w:rsidR="005A5570" w:rsidRPr="00CF14A2" w:rsidRDefault="005A5570" w:rsidP="005A5570">
            <w:pPr>
              <w:tabs>
                <w:tab w:val="left" w:pos="1696"/>
              </w:tabs>
              <w:rPr>
                <w:sz w:val="20"/>
                <w:szCs w:val="20"/>
              </w:rPr>
            </w:pPr>
            <w:r w:rsidRPr="00CF14A2">
              <w:rPr>
                <w:b/>
                <w:sz w:val="20"/>
                <w:szCs w:val="20"/>
              </w:rPr>
              <w:t xml:space="preserve">Ordering Physician</w:t>
            </w:r>
            <w:r w:rsidRPr="00CF14A2">
              <w:rPr>
                <w:sz w:val="20"/>
                <w:szCs w:val="20"/>
              </w:rPr>
              <w:tab/>
            </w:r>
            <w:r>
              <w:rPr>
                <w:sz w:val="20"/>
                <w:szCs w:val="20"/>
              </w:rPr>
              <w:t xml:space="preserve">Dr. M. Abcedek</w:t>
            </w:r>
            <w:proofErr w:type="spellStart"/>
            <w:r>
              <w:rPr>
                <w:sz w:val="20"/>
                <w:szCs w:val="20"/>
              </w:rPr>
              <w:t/>
            </w:r>
            <w:proofErr w:type="spellEnd"/>
            <w:r>
              <w:rPr>
                <w:sz w:val="20"/>
                <w:szCs w:val="20"/>
              </w:rPr>
              <w:t/>
            </w:r>
          </w:p>
          <w:p w14:paraId="3A98B8E3" w14:textId="77777777" w:rsidR="005A5570" w:rsidRPr="00CF14A2" w:rsidRDefault="005A5570" w:rsidP="005A5570">
            <w:pPr>
              <w:tabs>
                <w:tab w:val="left" w:pos="1696"/>
              </w:tabs>
              <w:rPr>
                <w:sz w:val="20"/>
                <w:szCs w:val="20"/>
              </w:rPr>
            </w:pPr>
            <w:r w:rsidRPr="00CF14A2">
              <w:rPr>
                <w:b/>
                <w:sz w:val="20"/>
                <w:szCs w:val="20"/>
              </w:rPr>
              <w:t xml:space="preserve">Order Date</w:t>
            </w:r>
            <w:r w:rsidRPr="00CF14A2">
              <w:rPr>
                <w:sz w:val="20"/>
                <w:szCs w:val="20"/>
              </w:rPr>
              <w:tab/>
            </w:r>
            <w:r>
              <w:rPr>
                <w:sz w:val="20"/>
                <w:szCs w:val="20"/>
              </w:rPr>
              <w:t xml:space="preserve">02/01/2023</w:t>
            </w:r>
            <w:proofErr w:type="spellStart"/>
            <w:r>
              <w:rPr>
                <w:sz w:val="20"/>
                <w:szCs w:val="20"/>
              </w:rPr>
              <w:t/>
            </w:r>
            <w:proofErr w:type="spellEnd"/>
            <w:r>
              <w:rPr>
                <w:sz w:val="20"/>
                <w:szCs w:val="20"/>
              </w:rPr>
              <w:t/>
            </w:r>
          </w:p>
          <w:p w14:paraId="0FF9A78C" w14:textId="77777777" w:rsidR="005A5570" w:rsidRPr="00CF14A2" w:rsidRDefault="005A5570" w:rsidP="005A5570">
            <w:pPr>
              <w:tabs>
                <w:tab w:val="left" w:pos="1696"/>
              </w:tabs>
              <w:rPr>
                <w:sz w:val="20"/>
                <w:szCs w:val="20"/>
              </w:rPr>
            </w:pPr>
            <w:r>
              <w:rPr>
                <w:b/>
                <w:sz w:val="20"/>
                <w:szCs w:val="20"/>
              </w:rPr>
              <w:t xml:space="preserve">Contact/Recipient</w:t>
            </w:r>
            <w:r w:rsidRPr="00CF14A2">
              <w:rPr>
                <w:sz w:val="20"/>
                <w:szCs w:val="20"/>
              </w:rPr>
              <w:tab/>
            </w:r>
            <w:r>
              <w:rPr>
                <w:sz w:val="20"/>
                <w:szCs w:val="20"/>
              </w:rPr>
              <w:t/>
            </w:r>
            <w:proofErr w:type="spellStart"/>
            <w:r>
              <w:rPr>
                <w:sz w:val="20"/>
                <w:szCs w:val="20"/>
              </w:rPr>
              <w:t/>
            </w:r>
            <w:proofErr w:type="spellEnd"/>
            <w:r>
              <w:rPr>
                <w:sz w:val="20"/>
                <w:szCs w:val="20"/>
              </w:rPr>
              <w:t/>
            </w:r>
          </w:p>
          <w:p w14:paraId="1C43DF7D" w14:textId="779D597B" w:rsidR="005A5570" w:rsidRDefault="005A5570" w:rsidP="005A5570">
            <w:pPr>
              <w:tabs>
                <w:tab w:val="left" w:pos="1696"/>
              </w:tabs>
            </w:pPr>
            <w:r>
              <w:rPr>
                <w:b/>
                <w:sz w:val="20"/>
                <w:szCs w:val="20"/>
              </w:rPr>
              <w:t xml:space="preserve">Additional</w:t>
            </w:r>
            <w:r w:rsidRPr="00CF14A2">
              <w:rPr>
                <w:sz w:val="20"/>
                <w:szCs w:val="20"/>
              </w:rPr>
              <w:tab/>
            </w:r>
            <w:r>
              <w:rPr>
                <w:sz w:val="20"/>
                <w:szCs w:val="20"/>
              </w:rPr>
              <w:t/>
            </w:r>
            <w:proofErr w:type="spellStart"/>
            <w:r>
              <w:rPr>
                <w:sz w:val="20"/>
                <w:szCs w:val="20"/>
              </w:rPr>
              <w:t/>
            </w:r>
            <w:proofErr w:type="spellEnd"/>
            <w:r>
              <w:rPr>
                <w:sz w:val="20"/>
                <w:szCs w:val="20"/>
              </w:rPr>
              <w:t/>
            </w:r>
          </w:p>
        </w:tc>
        <w:tc>
          <w:tcPr>
            <w:tcW w:w="3597" w:type="dxa"/>
            <w:shd w:val="clear" w:color="auto" w:fill="F2F2F2" w:themeFill="background1" w:themeFillShade="F2"/>
          </w:tcPr>
          <w:p w14:paraId="1D0B032E" w14:textId="77777777" w:rsidR="005A5570" w:rsidRPr="00F10FBB" w:rsidRDefault="005A5570" w:rsidP="005A5570">
            <w:pPr>
              <w:pStyle w:val="Heading2"/>
              <w:spacing w:before="0" w:after="120"/>
              <w:outlineLvl w:val="1"/>
              <w:rPr>
                <w:color w:val="7F7F7F" w:themeColor="text1" w:themeTint="80"/>
              </w:rPr>
            </w:pPr>
            <w:r>
              <w:rPr>
                <w:color w:val="7F7F7F" w:themeColor="text1" w:themeTint="80"/>
              </w:rPr>
              <w:t xml:space="preserve">Sample</w:t>
            </w:r>
            <w:r w:rsidRPr="00F10FBB">
              <w:rPr>
                <w:color w:val="7F7F7F" w:themeColor="text1" w:themeTint="80"/>
              </w:rPr>
              <w:t xml:space="preserve"> Info</w:t>
            </w:r>
            <w:r>
              <w:rPr>
                <w:color w:val="7F7F7F" w:themeColor="text1" w:themeTint="80"/>
              </w:rPr>
              <w:t xml:space="preserve">rmation</w:t>
            </w:r>
          </w:p>
          <w:p w14:paraId="4A85CAAF" w14:textId="77777777" w:rsidR="005A5570" w:rsidRPr="00CF14A2" w:rsidRDefault="005A5570" w:rsidP="005A5570">
            <w:pPr>
              <w:tabs>
                <w:tab w:val="left" w:pos="1822"/>
              </w:tabs>
              <w:rPr>
                <w:sz w:val="20"/>
              </w:rPr>
            </w:pPr>
            <w:r w:rsidRPr="00CF14A2">
              <w:rPr>
                <w:b/>
                <w:sz w:val="20"/>
              </w:rPr>
              <w:t xml:space="preserve">Specimen Site</w:t>
            </w:r>
            <w:r w:rsidRPr="00CF14A2">
              <w:rPr>
                <w:sz w:val="20"/>
              </w:rPr>
              <w:tab/>
            </w:r>
            <w:r>
              <w:rPr>
                <w:sz w:val="20"/>
              </w:rPr>
              <w:t/>
            </w:r>
            <w:proofErr w:type="spellStart"/>
            <w:r>
              <w:rPr>
                <w:sz w:val="20"/>
              </w:rPr>
              <w:t/>
            </w:r>
            <w:proofErr w:type="spellEnd"/>
            <w:r>
              <w:rPr>
                <w:sz w:val="20"/>
              </w:rPr>
              <w:t/>
            </w:r>
          </w:p>
          <w:p w14:paraId="09BD86A6" w14:textId="77777777" w:rsidR="005A5570" w:rsidRPr="00CF14A2" w:rsidRDefault="005A5570" w:rsidP="005A5570">
            <w:pPr>
              <w:tabs>
                <w:tab w:val="left" w:pos="1822"/>
              </w:tabs>
              <w:rPr>
                <w:sz w:val="20"/>
              </w:rPr>
            </w:pPr>
            <w:r w:rsidRPr="00CF14A2">
              <w:rPr>
                <w:b/>
                <w:sz w:val="20"/>
              </w:rPr>
              <w:t xml:space="preserve">Collection Date</w:t>
            </w:r>
            <w:r w:rsidRPr="00CF14A2">
              <w:rPr>
                <w:sz w:val="20"/>
              </w:rPr>
              <w:tab/>
            </w:r>
            <w:r>
              <w:rPr>
                <w:sz w:val="20"/>
              </w:rPr>
              <w:t xml:space="preserve">02/02/2023</w:t>
            </w:r>
            <w:proofErr w:type="spellStart"/>
            <w:r>
              <w:rPr>
                <w:sz w:val="20"/>
              </w:rPr>
              <w:t/>
            </w:r>
            <w:proofErr w:type="spellEnd"/>
            <w:r>
              <w:rPr>
                <w:sz w:val="20"/>
              </w:rPr>
              <w:t/>
            </w:r>
          </w:p>
          <w:p w14:paraId="46E3576F" w14:textId="77777777" w:rsidR="005A5570" w:rsidRPr="00CF14A2" w:rsidRDefault="005A5570" w:rsidP="005A5570">
            <w:pPr>
              <w:tabs>
                <w:tab w:val="left" w:pos="1822"/>
              </w:tabs>
              <w:rPr>
                <w:sz w:val="20"/>
              </w:rPr>
            </w:pPr>
            <w:r w:rsidRPr="00CF14A2">
              <w:rPr>
                <w:b/>
                <w:sz w:val="20"/>
              </w:rPr>
              <w:t xml:space="preserve">Received Date</w:t>
            </w:r>
            <w:r w:rsidRPr="00CF14A2">
              <w:rPr>
                <w:sz w:val="20"/>
              </w:rPr>
              <w:tab/>
            </w:r>
            <w:r>
              <w:rPr>
                <w:sz w:val="20"/>
              </w:rPr>
              <w:t xml:space="preserve">02/06/2023</w:t>
            </w:r>
            <w:proofErr w:type="spellStart"/>
            <w:r w:rsidRPr="00C275A4">
              <w:rPr>
                <w:sz w:val="20"/>
              </w:rPr>
              <w:t/>
            </w:r>
            <w:proofErr w:type="spellEnd"/>
            <w:r>
              <w:rPr>
                <w:sz w:val="20"/>
              </w:rPr>
              <w:t/>
            </w:r>
          </w:p>
          <w:p w14:paraId="7713DC22" w14:textId="1A9E21F5" w:rsidR="005A5570" w:rsidRDefault="005A5570" w:rsidP="005A5570">
            <w:pPr>
              <w:tabs>
                <w:tab w:val="left" w:pos="1822"/>
              </w:tabs>
            </w:pPr>
            <w:r w:rsidRPr="00CF14A2">
              <w:rPr>
                <w:b/>
                <w:sz w:val="20"/>
              </w:rPr>
              <w:t xml:space="preserve">Accession #</w:t>
            </w:r>
            <w:r w:rsidRPr="00CF14A2">
              <w:rPr>
                <w:sz w:val="20"/>
              </w:rPr>
              <w:tab/>
            </w:r>
            <w:r>
              <w:rPr>
                <w:sz w:val="20"/>
              </w:rPr>
              <w:t xml:space="preserve">38154</w:t>
            </w:r>
          </w:p>
        </w:tc>
      </w:tr>
    </w:tbl>
    <w:p w14:paraId="6C260EE2" w14:textId="77777777" w:rsidR="0002665A" w:rsidRPr="003F74E6" w:rsidRDefault="0002665A" w:rsidP="0002665A">
      <w:pPr>
        <w:pStyle w:val="Heading2"/>
        <w:spacing w:before="120"/>
        <w:rPr>
          <w:rFonts w:cs="Calibri Light (Headings)"/>
          <w:b/>
          <w:smallCaps/>
          <w:color w:val="0D0D0D" w:themeColor="text1" w:themeTint="F2"/>
          <w:spacing w:val="10"/>
        </w:rPr>
      </w:pPr>
      <w:r w:rsidRPr="003F74E6">
        <w:rPr>
          <w:rFonts w:cs="Calibri Light (Headings)"/>
          <w:b/>
          <w:smallCaps/>
          <w:color w:val="0D0D0D" w:themeColor="text1" w:themeTint="F2"/>
          <w:spacing w:val="10"/>
        </w:rPr>
        <w:t>About the Test</w:t>
      </w:r>
    </w:p>
    <w:p w14:paraId="0B15DF8D" w14:textId="4DA62D9F" w:rsidR="0002665A" w:rsidRPr="001A651C" w:rsidRDefault="0002665A" w:rsidP="0002665A">
      <w:pPr>
        <w:spacing w:after="240"/>
        <w:rPr>
          <w:color w:val="7F7F7F" w:themeColor="text1" w:themeTint="80"/>
          <w:sz w:val="20"/>
          <w:szCs w:val="20"/>
        </w:rPr>
      </w:pPr>
      <w:r w:rsidRPr="001A651C">
        <w:rPr>
          <w:color w:val="7F7F7F" w:themeColor="text1" w:themeTint="80"/>
          <w:sz w:val="20"/>
          <w:szCs w:val="20"/>
        </w:rPr>
        <w:t xml:space="preserve">Golden Labs </w:t>
      </w:r>
      <w:r>
        <w:rPr>
          <w:color w:val="7F7F7F" w:themeColor="text1" w:themeTint="80"/>
          <w:sz w:val="20"/>
          <w:szCs w:val="20"/>
        </w:rPr>
        <w:t xml:space="preserve">utilizes a Next Generation Sequencing (NGS) based assay of </w:t>
      </w:r>
      <w:r w:rsidR="00313F9A">
        <w:rPr>
          <w:color w:val="7F7F7F" w:themeColor="text1" w:themeTint="80"/>
          <w:sz w:val="20"/>
          <w:szCs w:val="20"/>
        </w:rPr>
        <w:t>cancer-related</w:t>
      </w:r>
      <w:r>
        <w:rPr>
          <w:color w:val="7F7F7F" w:themeColor="text1" w:themeTint="80"/>
          <w:sz w:val="20"/>
          <w:szCs w:val="20"/>
        </w:rPr>
        <w:t xml:space="preserve"> genes to detect relevant genomic alterations that provide therapeutic guidance, disease diagnostic evidence or prognostic indication. See Method</w:t>
      </w:r>
      <w:r w:rsidR="0005044D">
        <w:rPr>
          <w:color w:val="7F7F7F" w:themeColor="text1" w:themeTint="80"/>
          <w:sz w:val="20"/>
          <w:szCs w:val="20"/>
        </w:rPr>
        <w:t>s</w:t>
      </w:r>
      <w:r>
        <w:rPr>
          <w:color w:val="7F7F7F" w:themeColor="text1" w:themeTint="80"/>
          <w:sz w:val="20"/>
          <w:szCs w:val="20"/>
        </w:rPr>
        <w:t xml:space="preserve"> </w:t>
      </w:r>
      <w:r w:rsidR="00E4412B">
        <w:rPr>
          <w:color w:val="7F7F7F" w:themeColor="text1" w:themeTint="80"/>
          <w:sz w:val="20"/>
          <w:szCs w:val="20"/>
        </w:rPr>
        <w:t>and</w:t>
      </w:r>
      <w:r>
        <w:rPr>
          <w:color w:val="7F7F7F" w:themeColor="text1" w:themeTint="80"/>
          <w:sz w:val="20"/>
          <w:szCs w:val="20"/>
        </w:rPr>
        <w:t xml:space="preserve"> Limitations.</w:t>
      </w:r>
    </w:p>
    <w:tbl>
      <w:tblPr>
        <w:tblStyle w:val="TableGrid"/>
        <w:tblW w:w="0" w:type="auto"/>
        <w:tblInd w:w="516" w:type="dxa"/>
        <w:tblBorders>
          <w:insideH w:val="none" w:sz="0" w:space="0" w:color="auto"/>
          <w:insideV w:val="none" w:sz="0" w:space="0" w:color="auto"/>
        </w:tblBorders>
        <w:tblLook w:val="04A0" w:firstRow="1" w:lastRow="0" w:firstColumn="1" w:lastColumn="0" w:noHBand="0" w:noVBand="1"/>
      </w:tblPr>
      <w:tblGrid>
        <w:gridCol w:w="9980"/>
      </w:tblGrid>
      <w:tr w:rsidR="0002665A" w14:paraId="03BBFCBE" w14:textId="77777777" w:rsidTr="00597835">
        <w:trPr>
          <w:trHeight w:val="1368"/>
        </w:trPr>
        <w:tc>
          <w:tcPr>
            <w:tcW w:w="9980" w:type="dxa"/>
          </w:tcPr>
          <w:p w14:paraId="40EF3D8A" w14:textId="009EF25C" w:rsidR="00A520CB" w:rsidRPr="00A520CB" w:rsidRDefault="008440EE" w:rsidP="00A520CB">
            <w:pPr>
              <w:pStyle w:val="Heading2"/>
              <w:spacing w:before="0" w:after="120"/>
              <w:outlineLvl w:val="1"/>
              <w:rPr>
                <w:b/>
                <w:smallCaps/>
                <w:color w:val="000000" w:themeColor="text1"/>
              </w:rPr>
            </w:pPr>
            <w:r w:rsidRPr="008C14C6">
              <w:rPr>
                <w:b/>
                <w:smallCaps/>
                <w:color w:val="000000" w:themeColor="text1"/>
              </w:rPr>
              <w:t xml:space="preserve">Results Summary </w:t>
            </w:r>
          </w:p>
          <w:p w14:paraId="0E4A3DA4" w14:textId="28356FAB" w:rsidR="00A520CB" w:rsidRPr="00A520CB" w:rsidRDefault="00A520CB" w:rsidP="008440EE">
            <w:pPr>
              <w:pBdr>
                <w:top w:val="single" w:sz="4" w:space="1" w:color="auto"/>
                <w:bottom w:val="single" w:sz="4" w:space="1" w:color="auto"/>
              </w:pBdr>
              <w:spacing w:line="360" w:lineRule="auto"/>
              <w:rPr>
                <w:rFonts w:asciiTheme="majorHAnsi" w:hAnsiTheme="majorHAnsi" w:cstheme="majorHAnsi"/>
              </w:rPr>
            </w:pPr>
            <w:r>
              <w:rPr>
                <w:rFonts w:asciiTheme="majorHAnsi" w:hAnsiTheme="majorHAnsi" w:cstheme="majorHAnsi"/>
              </w:rPr>
              <w:t/>
            </w:r>
            <w:proofErr w:type="spellStart"/>
            <w:r>
              <w:rPr>
                <w:rFonts w:asciiTheme="majorHAnsi" w:hAnsiTheme="majorHAnsi" w:cstheme="majorHAnsi"/>
              </w:rPr>
              <w:t/>
            </w:r>
            <w:proofErr w:type="spellEnd"/>
            <w:r>
              <w:rPr>
                <w:rFonts w:asciiTheme="majorHAnsi" w:hAnsiTheme="majorHAnsi" w:cstheme="majorHAnsi"/>
              </w:rPr>
              <w:t/>
            </w:r>
          </w:p>
          <w:p w14:paraId="2DB18B78" w14:textId="3518AA4E" w:rsidR="008440EE" w:rsidRPr="008C14C6" w:rsidRDefault="008440EE" w:rsidP="008440EE">
            <w:pPr>
              <w:pBdr>
                <w:top w:val="single" w:sz="4" w:space="1" w:color="auto"/>
                <w:bottom w:val="single" w:sz="4" w:space="1" w:color="auto"/>
              </w:pBdr>
              <w:spacing w:line="360" w:lineRule="auto"/>
              <w:rPr>
                <w:rFonts w:asciiTheme="majorHAnsi" w:hAnsiTheme="majorHAnsi" w:cstheme="majorHAnsi"/>
                <w:b/>
                <w:bCs/>
              </w:rPr>
            </w:pPr>
            <w:r w:rsidRPr="008C14C6">
              <w:rPr>
                <w:rFonts w:asciiTheme="majorHAnsi" w:hAnsiTheme="majorHAnsi" w:cstheme="majorHAnsi"/>
                <w:b/>
                <w:bCs/>
              </w:rPr>
              <w:t xml:space="preserve">Negative</w:t>
            </w:r>
            <w:r>
              <w:rPr>
                <w:rFonts w:asciiTheme="majorHAnsi" w:hAnsiTheme="majorHAnsi" w:cstheme="majorHAnsi"/>
                <w:b/>
                <w:bCs/>
              </w:rPr>
              <w:t xml:space="preserve"> Findings</w:t>
            </w:r>
          </w:p>
          <w:p w14:paraId="0F4035A4" w14:textId="77777777" w:rsidR="008440EE" w:rsidRDefault="008440EE" w:rsidP="008440EE">
            <w:pPr>
              <w:spacing w:line="360" w:lineRule="auto"/>
            </w:pPr>
            <w:r>
              <w:t xml:space="preserve">No pathogenic single nucleotide variants, indels, copy number changes, or structural variations found for:</w:t>
            </w:r>
          </w:p>
          <w:p w14:paraId="2D568D27" w14:textId="77777777" w:rsidR="008440EE" w:rsidRDefault="008440EE" w:rsidP="008440EE">
            <w:pPr>
              <w:spacing w:line="360" w:lineRule="auto"/>
            </w:pPr>
            <w:r>
              <w:t xml:space="preserve">| </w:t>
            </w:r>
            <w:r w:rsidRPr="00FD4201">
              <w:rPr>
                <w:b/>
                <w:bCs/>
                <w:color w:val="808080" w:themeColor="background1" w:themeShade="80"/>
              </w:rPr>
              <w:t xml:space="preserve">EGFR</w:t>
            </w:r>
            <w:r>
              <w:t xml:space="preserve"> |</w:t>
            </w:r>
            <w:r>
              <w:rPr>
                <w:noProof/>
              </w:rPr>
              <w:t xml:space="preserve"> </w:t>
            </w:r>
            <w:r w:rsidRPr="00FD4201">
              <w:rPr>
                <w:b/>
                <w:bCs/>
                <w:color w:val="808080" w:themeColor="background1" w:themeShade="80"/>
              </w:rPr>
              <w:t xml:space="preserve">ALK</w:t>
            </w:r>
            <w:r>
              <w:t xml:space="preserve"> |</w:t>
            </w:r>
            <w:r>
              <w:rPr>
                <w:noProof/>
              </w:rPr>
              <w:t xml:space="preserve"> </w:t>
            </w:r>
            <w:r w:rsidRPr="00FD4201">
              <w:rPr>
                <w:b/>
                <w:bCs/>
                <w:color w:val="808080" w:themeColor="background1" w:themeShade="80"/>
              </w:rPr>
              <w:t xml:space="preserve">ROS1</w:t>
            </w:r>
            <w:r>
              <w:t xml:space="preserve"> |</w:t>
            </w:r>
            <w:r>
              <w:rPr>
                <w:noProof/>
              </w:rPr>
              <w:t/>
            </w:r>
          </w:p>
          <w:p w14:paraId="6C71C9F6" w14:textId="77777777" w:rsidR="008440EE" w:rsidRPr="008C14C6" w:rsidRDefault="008440EE" w:rsidP="008440EE">
            <w:pPr>
              <w:pBdr>
                <w:top w:val="single" w:sz="4" w:space="1" w:color="auto"/>
                <w:bottom w:val="single" w:sz="4" w:space="1" w:color="auto"/>
              </w:pBdr>
              <w:spacing w:line="360" w:lineRule="auto"/>
              <w:rPr>
                <w:rFonts w:asciiTheme="majorHAnsi" w:hAnsiTheme="majorHAnsi" w:cstheme="majorHAnsi"/>
                <w:b/>
                <w:bCs/>
              </w:rPr>
            </w:pPr>
            <w:r>
              <w:rPr>
                <w:rFonts w:asciiTheme="majorHAnsi" w:hAnsiTheme="majorHAnsi" w:cstheme="majorHAnsi"/>
                <w:b/>
                <w:bCs/>
              </w:rPr>
              <w:t/>
            </w:r>
            <w:r w:rsidRPr="008C14C6">
              <w:rPr>
                <w:rFonts w:asciiTheme="majorHAnsi" w:hAnsiTheme="majorHAnsi" w:cstheme="majorHAnsi"/>
                <w:b/>
                <w:bCs/>
              </w:rPr>
              <w:t xml:space="preserve">Genomic Signatures</w:t>
            </w:r>
          </w:p>
          <w:p w14:paraId="645DD66E" w14:textId="77777777" w:rsidR="008440EE" w:rsidRDefault="008440EE" w:rsidP="008440EE">
            <w:pPr>
              <w:spacing w:line="360" w:lineRule="auto"/>
            </w:pPr>
            <w:r>
              <w:t xml:space="preserve">The following genomic signature(s) were analyzed for this sample:</w:t>
            </w:r>
          </w:p>
          <w:p w14:paraId="7EF821BC" w14:textId="77777777" w:rsidR="008440EE" w:rsidRPr="00864D87" w:rsidRDefault="008440EE" w:rsidP="008440EE">
            <w:pPr>
              <w:spacing w:line="360" w:lineRule="auto"/>
            </w:pPr>
            <w:r>
              <w:t xml:space="preserve">TMB: High | 12.5 mut/Mb</w:t>
            </w:r>
          </w:p>
          <w:p w14:paraId="7EF821BC" w14:textId="77777777" w:rsidR="008440EE" w:rsidRPr="00864D87" w:rsidRDefault="008440EE" w:rsidP="008440EE">
            <w:pPr>
              <w:spacing w:line="360" w:lineRule="auto"/>
            </w:pPr>
            <w:r>
              <w:t xml:space="preserve">MSI: High | 35.9 % unstable MSI loci</w:t>
            </w:r>
          </w:p>
          <w:p w14:paraId="7EF821BC" w14:textId="77777777" w:rsidR="008440EE" w:rsidRPr="00864D87" w:rsidRDefault="008440EE" w:rsidP="008440EE">
            <w:pPr>
              <w:spacing w:line="360" w:lineRule="auto"/>
            </w:pPr>
            <w:r>
              <w:t xml:space="preserve">HRD: Positive | 43 Genomic Instability Score</w:t>
            </w:r>
          </w:p>
          <w:p w14:paraId="10331918" w14:textId="77777777" w:rsidR="008440EE" w:rsidRPr="004665FC" w:rsidRDefault="008440EE" w:rsidP="008440EE">
            <w:pPr>
              <w:pBdr>
                <w:bottom w:val="single" w:sz="4" w:space="1" w:color="auto"/>
              </w:pBdr>
              <w:spacing w:line="360" w:lineRule="auto"/>
              <w:rPr>
                <w:sz w:val="2"/>
                <w:szCs w:val="2"/>
              </w:rPr>
            </w:pPr>
          </w:p>
          <w:p w14:paraId="57E7B7DE" w14:textId="1B0DB26E" w:rsidR="00BE7E03" w:rsidRDefault="008440EE" w:rsidP="00BE7E03">
            <w:r>
              <w:t/>
            </w:r>
          </w:p>
          <w:tbl>
            <w:tblPr>
              <w:tblStyle w:val="TableGrid"/>
              <w:tblW w:w="9754" w:type="dxa"/>
              <w:tblLook w:val="04A0" w:firstRow="1" w:lastRow="0" w:firstColumn="1" w:lastColumn="0" w:noHBand="0" w:noVBand="1"/>
            </w:tblPr>
            <w:tblGrid>
              <w:gridCol w:w="4332"/>
              <w:gridCol w:w="5422"/>
            </w:tblGrid>
            <w:tr w:rsidR="00BE7E03" w14:paraId="599CF2BC" w14:textId="77777777" w:rsidTr="00597835">
              <w:trPr>
                <w:trHeight w:val="265"/>
              </w:trPr>
              <w:tc>
                <w:tcPr>
                  <w:tcW w:w="6714" w:type="dxa"/>
                  <w:shd w:val="clear" w:color="auto" w:fill="000000" w:themeFill="text1"/>
                </w:tcPr>
                <w:p w14:paraId="6F85A360" w14:textId="77777777" w:rsidR="00BE7E03" w:rsidRPr="00CE1323" w:rsidRDefault="00BE7E03" w:rsidP="00597835">
                  <w:pPr>
                    <w:jc w:val="center"/>
                    <w:rPr>
                      <w:rFonts w:asciiTheme="majorHAnsi" w:hAnsiTheme="majorHAnsi" w:cstheme="majorHAnsi"/>
                      <w:b/>
                      <w:bCs/>
                      <w:color w:val="FFFFFF" w:themeColor="background1"/>
                    </w:rPr>
                  </w:pPr>
                  <w:r w:rsidRPr="00CE1323">
                    <w:rPr>
                      <w:rFonts w:asciiTheme="majorHAnsi" w:hAnsiTheme="majorHAnsi" w:cstheme="majorHAnsi"/>
                      <w:b/>
                      <w:bCs/>
                      <w:color w:val="FFFFFF" w:themeColor="background1"/>
                    </w:rPr>
                    <w:t>Genomic Finding</w:t>
                  </w:r>
                </w:p>
              </w:tc>
              <w:tc>
                <w:tcPr>
                  <w:tcW w:w="3040" w:type="dxa"/>
                  <w:shd w:val="clear" w:color="auto" w:fill="000000" w:themeFill="text1"/>
                </w:tcPr>
                <w:p w14:paraId="74D99102" w14:textId="77777777" w:rsidR="00BE7E03" w:rsidRPr="00CE1323" w:rsidRDefault="00BE7E03" w:rsidP="00597835">
                  <w:pPr>
                    <w:jc w:val="center"/>
                    <w:rPr>
                      <w:rFonts w:asciiTheme="majorHAnsi" w:hAnsiTheme="majorHAnsi" w:cstheme="majorHAnsi"/>
                      <w:b/>
                      <w:bCs/>
                      <w:color w:val="FFFFFF" w:themeColor="background1"/>
                    </w:rPr>
                  </w:pPr>
                  <w:r w:rsidRPr="00CE1323">
                    <w:rPr>
                      <w:rFonts w:asciiTheme="majorHAnsi" w:hAnsiTheme="majorHAnsi" w:cstheme="majorHAnsi"/>
                      <w:b/>
                      <w:bCs/>
                      <w:color w:val="FFFFFF" w:themeColor="background1"/>
                    </w:rPr>
                    <w:t>Number of Findings Detected</w:t>
                  </w:r>
                </w:p>
              </w:tc>
            </w:tr>
            <w:tr w:rsidR="005A5570" w14:paraId="125263D4" w14:textId="77777777" w:rsidTr="00BE7E03">
              <w:trPr>
                <w:trHeight w:val="265"/>
              </w:trPr>
              <w:tc>
                <w:tcPr>
                  <w:tcW w:w="6714" w:type="dxa"/>
                  <w:shd w:val="clear" w:color="auto" w:fill="FFFFFF" w:themeFill="background1"/>
                </w:tcPr>
                <w:p w14:paraId="7518FD9F" w14:textId="77777777" w:rsidR="005A5570" w:rsidRDefault="005A5570" w:rsidP="00597835">
                  <w:pPr>
                    <w:jc w:val="center"/>
                  </w:pPr>
                  <w:r>
                    <w:t>Genomic Findings with Clinical Evidence</w:t>
                  </w:r>
                </w:p>
              </w:tc>
              <w:tc>
                <w:tcPr>
                  <w:tcW w:w="3040" w:type="dxa"/>
                  <w:shd w:val="clear" w:color="auto" w:fill="FFFFFF" w:themeFill="background1"/>
                </w:tcPr>
                <w:p w14:paraId="5AC6A91B" w14:textId="16E3771D" w:rsidR="005A5570" w:rsidRDefault="005A5570" w:rsidP="00597835">
                  <w:pPr>
                    <w:jc w:val="center"/>
                  </w:pPr>
                  <w:r>
                    <w:t xml:space="preserve">10</w:t>
                  </w:r>
                  <w:proofErr w:type="spellStart"/>
                  <w:r>
                    <w:t/>
                  </w:r>
                  <w:r w:rsidRPr="00E54896">
                    <w:t/>
                  </w:r>
                  <w:r>
                    <w:t/>
                  </w:r>
                  <w:r w:rsidRPr="00E54896">
                    <w:t/>
                  </w:r>
                  <w:proofErr w:type="spellEnd"/>
                  <w:r>
                    <w:t/>
                  </w:r>
                </w:p>
              </w:tc>
            </w:tr>
            <w:tr w:rsidR="005A5570" w14:paraId="1F15A50D" w14:textId="77777777" w:rsidTr="00597835">
              <w:trPr>
                <w:trHeight w:val="277"/>
              </w:trPr>
              <w:tc>
                <w:tcPr>
                  <w:tcW w:w="6714" w:type="dxa"/>
                  <w:shd w:val="clear" w:color="auto" w:fill="D0CECE" w:themeFill="background2" w:themeFillShade="E6"/>
                </w:tcPr>
                <w:p w14:paraId="7DCC6885" w14:textId="77777777" w:rsidR="005A5570" w:rsidRPr="00285A28" w:rsidRDefault="005A5570" w:rsidP="00597835">
                  <w:pPr>
                    <w:jc w:val="center"/>
                  </w:pPr>
                  <w:r>
                    <w:t>Genomic Findings with Prognostic/Diagnostic Evidence</w:t>
                  </w:r>
                </w:p>
              </w:tc>
              <w:tc>
                <w:tcPr>
                  <w:tcW w:w="3040" w:type="dxa"/>
                  <w:shd w:val="clear" w:color="auto" w:fill="D0CECE" w:themeFill="background2" w:themeFillShade="E6"/>
                </w:tcPr>
                <w:p w14:paraId="25D2B279" w14:textId="2C7F2177" w:rsidR="005A5570" w:rsidRPr="00285A28" w:rsidRDefault="005A5570" w:rsidP="00597835">
                  <w:pPr>
                    <w:jc w:val="center"/>
                  </w:pPr>
                  <w:r>
                    <w:t xml:space="preserve">2</w:t>
                  </w:r>
                  <w:proofErr w:type="spellStart"/>
                  <w:r>
                    <w:t/>
                  </w:r>
                  <w:r w:rsidRPr="00677CE8">
                    <w:t/>
                  </w:r>
                  <w:proofErr w:type="spellEnd"/>
                  <w:r>
                    <w:t/>
                  </w:r>
                </w:p>
              </w:tc>
            </w:tr>
            <w:tr w:rsidR="005A5570" w14:paraId="7149B68E" w14:textId="77777777" w:rsidTr="00BE7E03">
              <w:trPr>
                <w:trHeight w:val="265"/>
              </w:trPr>
              <w:tc>
                <w:tcPr>
                  <w:tcW w:w="6714" w:type="dxa"/>
                  <w:shd w:val="clear" w:color="auto" w:fill="FFFFFF" w:themeFill="background1"/>
                </w:tcPr>
                <w:p w14:paraId="1C699614" w14:textId="044BF372" w:rsidR="005A5570" w:rsidRDefault="005A5570" w:rsidP="00597835">
                  <w:pPr>
                    <w:jc w:val="center"/>
                  </w:pPr>
                  <w:r>
                    <w:t>Variants with Uncertain Clinical Significance</w:t>
                  </w:r>
                </w:p>
              </w:tc>
              <w:tc>
                <w:tcPr>
                  <w:tcW w:w="3040" w:type="dxa"/>
                  <w:shd w:val="clear" w:color="auto" w:fill="FFFFFF" w:themeFill="background1"/>
                </w:tcPr>
                <w:p w14:paraId="19AF3324" w14:textId="6AAB1F3F" w:rsidR="005A5570" w:rsidRDefault="005A5570" w:rsidP="00597835">
                  <w:pPr>
                    <w:jc w:val="center"/>
                  </w:pPr>
                  <w:r>
                    <w:t xml:space="preserve">0</w:t>
                  </w:r>
                  <w:proofErr w:type="spellStart"/>
                  <w:r>
                    <w:t/>
                  </w:r>
                  <w:proofErr w:type="spellEnd"/>
                  <w:r>
                    <w:t/>
                  </w:r>
                </w:p>
              </w:tc>
            </w:tr>
            <w:tr w:rsidR="005A5570" w14:paraId="2FD5577F" w14:textId="77777777" w:rsidTr="00597835">
              <w:trPr>
                <w:trHeight w:val="265"/>
              </w:trPr>
              <w:tc>
                <w:tcPr>
                  <w:tcW w:w="6714" w:type="dxa"/>
                  <w:shd w:val="clear" w:color="auto" w:fill="D0CECE" w:themeFill="background2" w:themeFillShade="E6"/>
                </w:tcPr>
                <w:p w14:paraId="33ED548E" w14:textId="77777777" w:rsidR="005A5570" w:rsidRDefault="005A5570" w:rsidP="00597835">
                  <w:pPr>
                    <w:jc w:val="center"/>
                  </w:pPr>
                  <w:r>
                    <w:t>Germline Alterations</w:t>
                  </w:r>
                </w:p>
              </w:tc>
              <w:tc>
                <w:tcPr>
                  <w:tcW w:w="3040" w:type="dxa"/>
                  <w:shd w:val="clear" w:color="auto" w:fill="D0CECE" w:themeFill="background2" w:themeFillShade="E6"/>
                </w:tcPr>
                <w:p w14:paraId="32D1A5E0" w14:textId="7CE87749" w:rsidR="005A5570" w:rsidRDefault="005A5570" w:rsidP="00597835">
                  <w:pPr>
                    <w:jc w:val="center"/>
                  </w:pPr>
                  <w:r>
                    <w:t xml:space="preserve">1</w:t>
                  </w:r>
                  <w:proofErr w:type="spellStart"/>
                  <w:r>
                    <w:t/>
                  </w:r>
                  <w:proofErr w:type="spellEnd"/>
                  <w:r>
                    <w:t/>
                  </w:r>
                </w:p>
              </w:tc>
            </w:tr>
          </w:tbl>
          <w:p w14:paraId="39762025" w14:textId="7E294CD3" w:rsidR="0002665A" w:rsidRPr="007965E4" w:rsidRDefault="007965E4">
            <w:pPr>
              <w:rPr>
                <w:sz w:val="16"/>
                <w:szCs w:val="16"/>
              </w:rPr>
            </w:pPr>
            <w:r>
              <w:rPr>
                <w:sz w:val="16"/>
                <w:szCs w:val="16"/>
              </w:rPr>
              <w:t xml:space="preserve"> </w:t>
            </w:r>
          </w:p>
        </w:tc>
      </w:tr>
    </w:tbl>
    <w:p w14:paraId="4F6C6AE3" w14:textId="22BBC436" w:rsidR="00857190" w:rsidRPr="00857190" w:rsidRDefault="00857190" w:rsidP="00857190">
      <w:pPr>
        <w:spacing w:after="0"/>
        <w:rPr>
          <w:sz w:val="16"/>
          <w:szCs w:val="16"/>
        </w:rPr>
      </w:pPr>
      <w:r w:rsidRPr="00857190">
        <w:rPr>
          <w:sz w:val="16"/>
          <w:szCs w:val="16"/>
        </w:rPr>
        <w:t/>
      </w:r>
    </w:p>
    <w:p w14:paraId="0B3F7FFF" w14:textId="00003F62" w:rsidR="00BE7E03" w:rsidRDefault="00BE7E03" w:rsidP="00857190">
      <w:pPr>
        <w:pStyle w:val="Heading1"/>
        <w:spacing w:before="120"/>
        <w:rPr>
          <w:rFonts w:asciiTheme="minorHAnsi" w:hAnsiTheme="minorHAnsi" w:cstheme="minorHAnsi"/>
          <w:b/>
          <w:bCs/>
          <w:color w:val="000000" w:themeColor="text1"/>
          <w:u w:val="single"/>
        </w:rPr>
      </w:pPr>
      <w:r>
        <w:rPr>
          <w:rFonts w:asciiTheme="minorHAnsi" w:hAnsiTheme="minorHAnsi" w:cstheme="minorHAnsi"/>
          <w:b/>
          <w:smallCaps/>
          <w:color w:val="0D0D0D" w:themeColor="text1" w:themeTint="F2"/>
          <w:spacing w:val="10"/>
          <w:sz w:val="28"/>
          <w:u w:val="single"/>
        </w:rPr>
        <w:t xml:space="preserve">Genomic </w:t>
      </w:r>
      <w:r w:rsidR="00857190">
        <w:rPr>
          <w:rFonts w:asciiTheme="minorHAnsi" w:hAnsiTheme="minorHAnsi" w:cstheme="minorHAnsi"/>
          <w:b/>
          <w:smallCaps/>
          <w:color w:val="0D0D0D" w:themeColor="text1" w:themeTint="F2"/>
          <w:spacing w:val="10"/>
          <w:sz w:val="28"/>
          <w:u w:val="single"/>
        </w:rPr>
        <w:t xml:space="preserve">F</w:t>
      </w:r>
      <w:r>
        <w:rPr>
          <w:rFonts w:asciiTheme="minorHAnsi" w:hAnsiTheme="minorHAnsi" w:cstheme="minorHAnsi"/>
          <w:b/>
          <w:smallCaps/>
          <w:color w:val="0D0D0D" w:themeColor="text1" w:themeTint="F2"/>
          <w:spacing w:val="10"/>
          <w:sz w:val="28"/>
          <w:u w:val="single"/>
        </w:rPr>
        <w:t xml:space="preserve">indings</w:t>
      </w:r>
      <w:r w:rsidRPr="00102DF1">
        <w:rPr>
          <w:rFonts w:asciiTheme="minorHAnsi" w:hAnsiTheme="minorHAnsi" w:cstheme="minorHAnsi"/>
          <w:b/>
          <w:smallCaps/>
          <w:color w:val="0D0D0D" w:themeColor="text1" w:themeTint="F2"/>
          <w:spacing w:val="10"/>
          <w:sz w:val="28"/>
          <w:u w:val="single"/>
        </w:rPr>
        <w:t xml:space="preserve"> with </w:t>
      </w:r>
      <w:r>
        <w:rPr>
          <w:rFonts w:asciiTheme="minorHAnsi" w:hAnsiTheme="minorHAnsi" w:cstheme="minorHAnsi"/>
          <w:b/>
          <w:smallCaps/>
          <w:color w:val="0D0D0D" w:themeColor="text1" w:themeTint="F2"/>
          <w:spacing w:val="10"/>
          <w:sz w:val="28"/>
          <w:u w:val="single"/>
        </w:rPr>
        <w:t xml:space="preserve">E</w:t>
      </w:r>
      <w:r w:rsidRPr="00102DF1">
        <w:rPr>
          <w:rFonts w:asciiTheme="minorHAnsi" w:hAnsiTheme="minorHAnsi" w:cstheme="minorHAnsi"/>
          <w:b/>
          <w:smallCaps/>
          <w:color w:val="0D0D0D" w:themeColor="text1" w:themeTint="F2"/>
          <w:spacing w:val="10"/>
          <w:sz w:val="28"/>
          <w:u w:val="single"/>
        </w:rPr>
        <w:t xml:space="preserve">vidence of </w:t>
      </w:r>
      <w:r>
        <w:rPr>
          <w:rFonts w:asciiTheme="minorHAnsi" w:hAnsiTheme="minorHAnsi" w:cstheme="minorHAnsi"/>
          <w:b/>
          <w:smallCaps/>
          <w:color w:val="0D0D0D" w:themeColor="text1" w:themeTint="F2"/>
          <w:spacing w:val="10"/>
          <w:sz w:val="28"/>
          <w:u w:val="single"/>
        </w:rPr>
        <w:t xml:space="preserve">C</w:t>
      </w:r>
      <w:r w:rsidRPr="00102DF1">
        <w:rPr>
          <w:rFonts w:asciiTheme="minorHAnsi" w:hAnsiTheme="minorHAnsi" w:cstheme="minorHAnsi"/>
          <w:b/>
          <w:smallCaps/>
          <w:color w:val="0D0D0D" w:themeColor="text1" w:themeTint="F2"/>
          <w:spacing w:val="10"/>
          <w:sz w:val="28"/>
          <w:u w:val="single"/>
        </w:rPr>
        <w:t xml:space="preserve">linical </w:t>
      </w:r>
      <w:r>
        <w:rPr>
          <w:rFonts w:asciiTheme="minorHAnsi" w:hAnsiTheme="minorHAnsi" w:cstheme="minorHAnsi"/>
          <w:b/>
          <w:smallCaps/>
          <w:color w:val="0D0D0D" w:themeColor="text1" w:themeTint="F2"/>
          <w:spacing w:val="10"/>
          <w:sz w:val="28"/>
          <w:u w:val="single"/>
        </w:rPr>
        <w:t xml:space="preserve">S</w:t>
      </w:r>
      <w:r w:rsidRPr="00102DF1">
        <w:rPr>
          <w:rFonts w:asciiTheme="minorHAnsi" w:hAnsiTheme="minorHAnsi" w:cstheme="minorHAnsi"/>
          <w:b/>
          <w:smallCaps/>
          <w:color w:val="0D0D0D" w:themeColor="text1" w:themeTint="F2"/>
          <w:spacing w:val="10"/>
          <w:sz w:val="28"/>
          <w:u w:val="single"/>
        </w:rPr>
        <w:t xml:space="preserve">ignificance</w:t>
      </w:r>
      <w:r w:rsidRPr="00102DF1">
        <w:rPr>
          <w:rFonts w:asciiTheme="minorHAnsi" w:hAnsiTheme="minorHAnsi" w:cstheme="minorHAnsi"/>
          <w:b/>
          <w:bCs/>
          <w:color w:val="000000" w:themeColor="text1"/>
          <w:u w:val="single"/>
        </w:rPr>
        <w:tab/>
      </w:r>
      <w:r w:rsidRPr="00102DF1">
        <w:rPr>
          <w:rFonts w:asciiTheme="minorHAnsi" w:hAnsiTheme="minorHAnsi" w:cstheme="minorHAnsi"/>
          <w:b/>
          <w:bCs/>
          <w:color w:val="000000" w:themeColor="text1"/>
          <w:u w:val="single"/>
        </w:rPr>
        <w:tab/>
      </w:r>
      <w:r>
        <w:rPr>
          <w:rFonts w:asciiTheme="minorHAnsi" w:hAnsiTheme="minorHAnsi" w:cstheme="minorHAnsi"/>
          <w:b/>
          <w:bCs/>
          <w:color w:val="000000" w:themeColor="text1"/>
          <w:u w:val="single"/>
        </w:rPr>
        <w:tab/>
      </w:r>
      <w:r>
        <w:rPr>
          <w:rFonts w:asciiTheme="minorHAnsi" w:hAnsiTheme="minorHAnsi" w:cstheme="minorHAnsi"/>
          <w:b/>
          <w:bCs/>
          <w:color w:val="000000" w:themeColor="text1"/>
          <w:u w:val="single"/>
        </w:rPr>
        <w:tab/>
      </w:r>
      <w:r>
        <w:rPr>
          <w:rFonts w:asciiTheme="minorHAnsi" w:hAnsiTheme="minorHAnsi" w:cstheme="minorHAnsi"/>
          <w:b/>
          <w:bCs/>
          <w:color w:val="000000" w:themeColor="text1"/>
          <w:u w:val="single"/>
        </w:rPr>
        <w:tab/>
      </w:r>
      <w:r>
        <w:rPr>
          <w:rFonts w:asciiTheme="minorHAnsi" w:hAnsiTheme="minorHAnsi" w:cstheme="minorHAnsi"/>
          <w:b/>
          <w:bCs/>
          <w:color w:val="000000" w:themeColor="text1"/>
          <w:u w:val="single"/>
        </w:rPr>
        <w:tab/>
      </w:r>
    </w:p>
    <w:p w14:paraId="248C31A0" w14:textId="768C746C" w:rsidR="00A52D9E" w:rsidRPr="00A52D9E" w:rsidRDefault="00A52D9E" w:rsidP="00A52D9E">
      <w:pPr>
        <w:spacing w:after="0"/>
        <w:rPr>
          <w:sz w:val="16"/>
          <w:szCs w:val="16"/>
        </w:rPr>
      </w:pPr>
      <w:r>
        <w:rPr>
          <w:sz w:val="16"/>
          <w:szCs w:val="16"/>
        </w:rPr>
        <w:t/>
      </w:r>
      <w:r w:rsidR="00D855D7" w:rsidRPr="00D855D7">
        <w:rPr>
          <w:sz w:val="16"/>
          <w:szCs w:val="16"/>
        </w:rPr>
        <w:t/>
      </w:r>
      <w:r>
        <w:rPr>
          <w:sz w:val="16"/>
          <w:szCs w:val="16"/>
        </w:rPr>
        <w:t/>
      </w:r>
    </w:p>
    <w:p w14:paraId="316A6C1D" w14:textId="77777777" w:rsidR="00785D7D" w:rsidRPr="00D7205E" w:rsidRDefault="00785D7D" w:rsidP="00785D7D">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Genomic Findings with Clinical Evidence</w:t>
      </w:r>
    </w:p>
    <w:tbl>
      <w:tblPr>
        <w:tblStyle w:val="ListTable6Colorful-Accent3"/>
        <w:tblpPr w:leftFromText="180" w:rightFromText="180" w:vertAnchor="text" w:tblpX="108" w:tblpY="1"/>
        <w:tblW w:w="10800" w:type="dxa"/>
        <w:tblLayout w:type="fixed"/>
        <w:tblLook w:val="04A0" w:firstRow="1" w:lastRow="0" w:firstColumn="1" w:lastColumn="0" w:noHBand="0" w:noVBand="1"/>
      </w:tblPr>
      <w:tblGrid>
        <w:gridCol w:w="1620"/>
        <w:gridCol w:w="2306"/>
        <w:gridCol w:w="2340"/>
        <w:gridCol w:w="1530"/>
        <w:gridCol w:w="3004"/>
      </w:tblGrid>
      <w:tr w:rsidR="00785D7D" w:rsidRPr="00D7205E" w14:paraId="41ABF9F6" w14:textId="77777777" w:rsidTr="003302E6">
        <w:trPr>
          <w:cnfStyle w:val="100000000000" w:firstRow="1" w:lastRow="0" w:firstColumn="0" w:lastColumn="0" w:oddVBand="0" w:evenVBand="0" w:oddHBand="0"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5AC266BB" w14:textId="77777777" w:rsidR="00785D7D" w:rsidRPr="00D7205E" w:rsidRDefault="00785D7D" w:rsidP="003302E6">
            <w:pPr>
              <w:rPr>
                <w:rFonts w:cstheme="minorHAnsi"/>
                <w:color w:val="0D0D0D" w:themeColor="text1" w:themeTint="F2"/>
                <w:sz w:val="20"/>
                <w:szCs w:val="20"/>
              </w:rPr>
            </w:pPr>
            <w:r>
              <w:rPr>
                <w:rFonts w:cstheme="minorHAnsi"/>
                <w:smallCaps/>
                <w:color w:val="0D0D0D" w:themeColor="text1" w:themeTint="F2"/>
              </w:rPr>
              <w:t xml:space="preserve">Genomic Finding</w:t>
            </w:r>
          </w:p>
        </w:tc>
        <w:tc>
          <w:tcPr>
            <w:tcW w:w="2306" w:type="dxa"/>
          </w:tcPr>
          <w:p w14:paraId="6EEBF7BC" w14:textId="77777777" w:rsidR="00785D7D" w:rsidRPr="00D7205E" w:rsidRDefault="00785D7D" w:rsidP="003302E6">
            <w:pPr>
              <w:cnfStyle w:val="100000000000" w:firstRow="1" w:lastRow="0" w:firstColumn="0" w:lastColumn="0" w:oddVBand="0" w:evenVBand="0" w:oddHBand="0" w:evenHBand="0" w:firstRowFirstColumn="0" w:firstRowLastColumn="0" w:lastRowFirstColumn="0" w:lastRowLastColumn="0"/>
              <w:rPr>
                <w:rFonts w:cstheme="minorHAnsi"/>
                <w:b w:val="0"/>
                <w:bCs w:val="0"/>
                <w:color w:val="0D0D0D" w:themeColor="text1" w:themeTint="F2"/>
                <w:sz w:val="20"/>
                <w:szCs w:val="20"/>
              </w:rPr>
            </w:pPr>
            <w:r>
              <w:rPr>
                <w:rFonts w:cstheme="minorHAnsi"/>
                <w:smallCaps/>
                <w:color w:val="0D0D0D" w:themeColor="text1" w:themeTint="F2"/>
              </w:rPr>
              <w:t xml:space="preserve">FDA-Approved Therapies</w:t>
            </w:r>
          </w:p>
          <w:p w14:paraId="6D8BE566" w14:textId="77777777" w:rsidR="00785D7D" w:rsidRPr="000E399D" w:rsidRDefault="00785D7D" w:rsidP="003302E6">
            <w:pPr>
              <w:cnfStyle w:val="100000000000" w:firstRow="1" w:lastRow="0" w:firstColumn="0" w:lastColumn="0" w:oddVBand="0" w:evenVBand="0" w:oddHBand="0" w:evenHBand="0" w:firstRowFirstColumn="0" w:firstRowLastColumn="0" w:lastRowFirstColumn="0" w:lastRowLastColumn="0"/>
              <w:rPr>
                <w:rFonts w:cstheme="minorHAnsi"/>
                <w:b w:val="0"/>
                <w:bCs w:val="0"/>
                <w:color w:val="0D0D0D" w:themeColor="text1" w:themeTint="F2"/>
                <w:sz w:val="20"/>
                <w:szCs w:val="20"/>
              </w:rPr>
            </w:pPr>
            <w:r w:rsidRPr="000E399D">
              <w:rPr>
                <w:rFonts w:cstheme="minorHAnsi"/>
                <w:b w:val="0"/>
                <w:bCs w:val="0"/>
                <w:smallCaps/>
                <w:color w:val="0D0D0D" w:themeColor="text1" w:themeTint="F2"/>
              </w:rPr>
              <w:t xml:space="preserve">in Patient’s Tumor Type</w:t>
            </w:r>
          </w:p>
        </w:tc>
        <w:tc>
          <w:tcPr>
            <w:tcW w:w="2340" w:type="dxa"/>
          </w:tcPr>
          <w:p w14:paraId="2AEC6EDF" w14:textId="77777777" w:rsidR="00785D7D" w:rsidRPr="000E399D" w:rsidRDefault="00785D7D" w:rsidP="003302E6">
            <w:pPr>
              <w:cnfStyle w:val="100000000000" w:firstRow="1" w:lastRow="0" w:firstColumn="0" w:lastColumn="0" w:oddVBand="0" w:evenVBand="0" w:oddHBand="0" w:evenHBand="0" w:firstRowFirstColumn="0" w:firstRowLastColumn="0" w:lastRowFirstColumn="0" w:lastRowLastColumn="0"/>
              <w:rPr>
                <w:rFonts w:cstheme="minorHAnsi"/>
                <w:b w:val="0"/>
                <w:bCs w:val="0"/>
                <w:color w:val="0D0D0D" w:themeColor="text1" w:themeTint="F2"/>
                <w:sz w:val="20"/>
                <w:szCs w:val="20"/>
              </w:rPr>
            </w:pPr>
            <w:r>
              <w:rPr>
                <w:rFonts w:cstheme="minorHAnsi"/>
                <w:smallCaps/>
                <w:color w:val="0D0D0D" w:themeColor="text1" w:themeTint="F2"/>
              </w:rPr>
              <w:t xml:space="preserve">Therapies of Potential Significance</w:t>
            </w:r>
          </w:p>
        </w:tc>
        <w:tc>
          <w:tcPr>
            <w:tcW w:w="1530" w:type="dxa"/>
          </w:tcPr>
          <w:p w14:paraId="4B661B61" w14:textId="77777777" w:rsidR="00785D7D" w:rsidRDefault="00785D7D" w:rsidP="003302E6">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Resistance</w:t>
            </w:r>
          </w:p>
        </w:tc>
        <w:tc>
          <w:tcPr>
            <w:tcW w:w="3004" w:type="dxa"/>
          </w:tcPr>
          <w:p w14:paraId="27354530" w14:textId="77777777" w:rsidR="00785D7D" w:rsidRPr="00D7205E" w:rsidRDefault="00785D7D" w:rsidP="003302E6">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Potential Clinical Trials</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ALK Negative Finding (NF)</w:t>
            </w:r>
            <w:r>
              <w:br/>
            </w:r>
            <w:r>
              <w:rPr>
                <w:sz w:val="20"/>
                <w:szCs w:val="20"/>
              </w:rPr>
              <w:t xml:space="preserve">EGFR Negative Finding (NF)</w:t>
            </w:r>
            <w:r>
              <w:br/>
            </w:r>
            <w:r>
              <w:rPr>
                <w:sz w:val="20"/>
                <w:szCs w:val="20"/>
              </w:rPr>
              <w:t xml:space="preserve">ROS1 Negative Finding (NF)</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Cemiplimab-rwlc, Durvalumab + Tremelimumab, Nivolumab + Ipilimumab </w:t>
            </w:r>
            <w:r>
              <w:rPr>
                <w:sz w:val="20"/>
                <w:szCs w:val="20"/>
                <w:color w:val="70AD47"/>
              </w:rPr>
              <w:t xml:space="preserve">(1A)</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ALK Negative Finding (NF)</w:t>
            </w:r>
            <w:r>
              <w:br/>
            </w:r>
            <w:r>
              <w:rPr>
                <w:sz w:val="20"/>
                <w:szCs w:val="20"/>
              </w:rPr>
              <w:t xml:space="preserve">EGFR Negative Finding (NF)</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Durvalumab + Tremelimumab, Nivolumab + Ipilimumab </w:t>
            </w:r>
            <w:r>
              <w:rPr>
                <w:sz w:val="20"/>
                <w:szCs w:val="20"/>
                <w:color w:val="70AD47"/>
              </w:rPr>
              <w:t xml:space="preserve">(1A)</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Unspecified</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Afatinib, Atezolizumab, Bevacizumab, Durvalumab, Necitumumab, Nivolumab, Ramucirumab </w:t>
            </w:r>
            <w:r>
              <w:rPr>
                <w:sz w:val="20"/>
                <w:szCs w:val="20"/>
                <w:color w:val="70AD47"/>
              </w:rPr>
              <w:t xml:space="preserve">(1A)</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Unspecified</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Atezolizumab, Durvalumab, Nivolumab </w:t>
            </w:r>
            <w:r>
              <w:rPr>
                <w:sz w:val="20"/>
                <w:szCs w:val="20"/>
                <w:color w:val="70AD47"/>
              </w:rPr>
              <w:t xml:space="preserve">(1A)</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Yes, see clinical trials section</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BRAF V600E</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Dabrafenib, Dabrafenib + Trametinib, Vemurafenib </w:t>
            </w:r>
            <w:r>
              <w:rPr>
                <w:sz w:val="20"/>
                <w:szCs w:val="20"/>
                <w:color w:val="70AD47"/>
              </w:rPr>
              <w:t xml:space="preserve">(1A)</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Dabrafenib + Trametinib, Encorafenib + Binimetinib </w:t>
            </w:r>
            <w:r>
              <w:rPr>
                <w:sz w:val="20"/>
                <w:szCs w:val="20"/>
                <w:color w:val="FFC000"/>
              </w:rPr>
              <w:t xml:space="preserve">(2C)</w:t>
            </w:r>
            <w:r>
              <w:br/>
            </w:r>
            <w:r>
              <w:rPr>
                <w:sz w:val="20"/>
                <w:szCs w:val="20"/>
              </w:rPr>
              <w:t xml:space="preserve">Vemurafenib + Rituximab </w:t>
            </w:r>
            <w:r>
              <w:rPr>
                <w:sz w:val="20"/>
                <w:szCs w:val="20"/>
                <w:color w:val="FFC000"/>
              </w:rPr>
              <w:t xml:space="preserve">(2C)</w:t>
            </w:r>
            <w:r>
              <w:br/>
            </w:r>
            <w:r>
              <w:rPr>
                <w:sz w:val="20"/>
                <w:szCs w:val="20"/>
              </w:rPr>
              <w:t xml:space="preserve">Encorafenib + Cetuximab, Encorafenib + Panitumumab </w:t>
            </w:r>
            <w:r>
              <w:rPr>
                <w:sz w:val="20"/>
                <w:szCs w:val="20"/>
                <w:color w:val="FFC000"/>
              </w:rPr>
              <w:t xml:space="preserve">(2C)</w:t>
            </w:r>
            <w:r>
              <w:br/>
            </w:r>
            <w:r>
              <w:rPr>
                <w:sz w:val="20"/>
                <w:szCs w:val="20"/>
              </w:rPr>
              <w:t xml:space="preserve">Vemurafenib + Cobimetinib </w:t>
            </w:r>
            <w:r>
              <w:rPr>
                <w:sz w:val="20"/>
                <w:szCs w:val="20"/>
                <w:color w:val="FFC000"/>
              </w:rPr>
              <w:t xml:space="preserve">(2C)</w:t>
            </w:r>
            <w:r>
              <w:br/>
            </w:r>
            <w:r>
              <w:rPr>
                <w:sz w:val="20"/>
                <w:szCs w:val="20"/>
              </w:rPr>
              <w:t xml:space="preserve">Trametinib, Vemurafenib + Cobimetinib, Vemurafenib + Cobimetinib + Atezolizumab </w:t>
            </w:r>
            <w:r>
              <w:rPr>
                <w:sz w:val="20"/>
                <w:szCs w:val="20"/>
                <w:color w:val="FFC000"/>
              </w:rPr>
              <w:t xml:space="preserve">(2C)</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Dabrafenib + Trametinib </w:t>
            </w:r>
            <w:r>
              <w:rPr>
                <w:sz w:val="20"/>
                <w:szCs w:val="20"/>
                <w:color w:val="FFC000"/>
              </w:rPr>
              <w:t xml:space="preserve">(2D)</w:t>
            </w:r>
            <w:r>
              <w:br/>
            </w:r>
            <w:r>
              <w:rPr>
                <w:sz w:val="20"/>
                <w:szCs w:val="20"/>
              </w:rPr>
              <w:t xml:space="preserve">Cetuximab, Panitumumab, Trametinib </w:t>
            </w:r>
            <w:r>
              <w:rPr>
                <w:sz w:val="20"/>
                <w:szCs w:val="20"/>
                <w:color w:val="FFC000"/>
              </w:rPr>
              <w:t xml:space="preserve">(2C)</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Yes, see clinical trials section</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PIK3CA Amplification</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Alpelisib + Fulvestrant, Everolimus + Exemestane, Fulvestrant </w:t>
            </w:r>
            <w:r>
              <w:rPr>
                <w:sz w:val="20"/>
                <w:szCs w:val="20"/>
                <w:color w:val="FFC000"/>
              </w:rPr>
              <w:t xml:space="preserve">(2C)</w:t>
            </w:r>
            <w:r>
              <w:br/>
            </w:r>
            <w:r>
              <w:rPr>
                <w:sz w:val="20"/>
                <w:szCs w:val="20"/>
              </w:rPr>
              <w:t xml:space="preserve">Alpelisib + Fulvestrant, Everolimus + Exemestane, Fulvestrant </w:t>
            </w:r>
            <w:r>
              <w:rPr>
                <w:sz w:val="20"/>
                <w:szCs w:val="20"/>
                <w:color w:val="FFC000"/>
              </w:rPr>
              <w:t xml:space="preserve">(2C)</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TMB High</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Pembrolizumab </w:t>
            </w:r>
            <w:r>
              <w:rPr>
                <w:sz w:val="20"/>
                <w:szCs w:val="20"/>
                <w:color w:val="70AD47"/>
              </w:rPr>
              <w:t xml:space="preserve">(1A)</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MSI High</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Pembrolizumab </w:t>
            </w:r>
            <w:r>
              <w:rPr>
                <w:sz w:val="20"/>
                <w:szCs w:val="20"/>
                <w:color w:val="70AD47"/>
              </w:rPr>
              <w:t xml:space="preserve">(1A)</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Dostarlimab-gxly </w:t>
            </w:r>
            <w:r>
              <w:rPr>
                <w:sz w:val="20"/>
                <w:szCs w:val="20"/>
                <w:color w:val="FFC000"/>
              </w:rPr>
              <w:t xml:space="preserve">(2C)</w:t>
            </w:r>
            <w:r>
              <w:br/>
            </w:r>
            <w:r>
              <w:rPr>
                <w:sz w:val="20"/>
                <w:szCs w:val="20"/>
              </w:rPr>
              <w:t xml:space="preserve">Avelumab </w:t>
            </w:r>
            <w:r>
              <w:rPr>
                <w:sz w:val="20"/>
                <w:szCs w:val="20"/>
                <w:color w:val="FFC000"/>
              </w:rPr>
              <w:t xml:space="preserve">(2C)</w:t>
            </w:r>
            <w:r>
              <w:br/>
            </w:r>
            <w:r>
              <w:rPr>
                <w:sz w:val="20"/>
                <w:szCs w:val="20"/>
              </w:rPr>
              <w:t xml:space="preserve">Dostarlimab-gxly </w:t>
            </w:r>
            <w:r>
              <w:rPr>
                <w:sz w:val="20"/>
                <w:szCs w:val="20"/>
                <w:color w:val="FFC000"/>
              </w:rPr>
              <w:t xml:space="preserve">(2C)</w:t>
            </w:r>
            <w:r>
              <w:br/>
            </w:r>
            <w:r>
              <w:rPr>
                <w:sz w:val="20"/>
                <w:szCs w:val="20"/>
              </w:rPr>
              <w:t xml:space="preserve">Avelumab </w:t>
            </w:r>
            <w:r>
              <w:rPr>
                <w:sz w:val="20"/>
                <w:szCs w:val="20"/>
                <w:color w:val="FFC000"/>
              </w:rPr>
              <w:t xml:space="preserve">(2C)</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HRD Positive</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Olaparib, Talazoparib </w:t>
            </w:r>
            <w:r>
              <w:rPr>
                <w:sz w:val="20"/>
                <w:szCs w:val="20"/>
                <w:color w:val="FFC000"/>
              </w:rPr>
              <w:t xml:space="preserve">(2C)</w:t>
            </w:r>
            <w:r>
              <w:br/>
            </w:r>
            <w:r>
              <w:rPr>
                <w:sz w:val="20"/>
                <w:szCs w:val="20"/>
              </w:rPr>
              <w:t xml:space="preserve">Niraparib, Olaparib, Olaparib + Bevacizumab, Rucaparib </w:t>
            </w:r>
            <w:r>
              <w:rPr>
                <w:sz w:val="20"/>
                <w:szCs w:val="20"/>
                <w:color w:val="FFC000"/>
              </w:rPr>
              <w:t xml:space="preserve">(2C)</w:t>
            </w:r>
            <w:r>
              <w:br/>
            </w:r>
            <w:r>
              <w:rPr>
                <w:sz w:val="20"/>
                <w:szCs w:val="20"/>
              </w:rPr>
              <w:t xml:space="preserve">Olaparib </w:t>
            </w:r>
            <w:r>
              <w:rPr>
                <w:sz w:val="20"/>
                <w:szCs w:val="20"/>
                <w:color w:val="FFC000"/>
              </w:rPr>
              <w:t xml:space="preserve">(2C)</w:t>
            </w:r>
            <w:r>
              <w:br/>
            </w:r>
            <w:r>
              <w:rPr>
                <w:sz w:val="20"/>
                <w:szCs w:val="20"/>
              </w:rPr>
              <w:t xml:space="preserve">Olaparib, Rucaparib </w:t>
            </w:r>
            <w:r>
              <w:rPr>
                <w:sz w:val="20"/>
                <w:szCs w:val="20"/>
                <w:color w:val="FFC000"/>
              </w:rPr>
              <w:t xml:space="preserve">(2C)</w:t>
            </w:r>
            <w:r>
              <w:br/>
            </w:r>
            <w:r>
              <w:rPr>
                <w:sz w:val="20"/>
                <w:szCs w:val="20"/>
              </w:rPr>
              <w:t xml:space="preserve">Olaparib, Talazoparib </w:t>
            </w:r>
            <w:r>
              <w:rPr>
                <w:sz w:val="20"/>
                <w:szCs w:val="20"/>
                <w:color w:val="FFC000"/>
              </w:rPr>
              <w:t xml:space="preserve">(2C)</w:t>
            </w:r>
            <w:r>
              <w:br/>
            </w:r>
            <w:r>
              <w:rPr>
                <w:sz w:val="20"/>
                <w:szCs w:val="20"/>
              </w:rPr>
              <w:t xml:space="preserve">Niraparib, Olaparib, Olaparib + Bevacizumab, Rucaparib </w:t>
            </w:r>
            <w:r>
              <w:rPr>
                <w:sz w:val="20"/>
                <w:szCs w:val="20"/>
                <w:color w:val="FFC000"/>
              </w:rPr>
              <w:t xml:space="preserve">(2C)</w:t>
            </w:r>
            <w:r>
              <w:br/>
            </w:r>
            <w:r>
              <w:rPr>
                <w:sz w:val="20"/>
                <w:szCs w:val="20"/>
              </w:rPr>
              <w:t xml:space="preserve">Olaparib </w:t>
            </w:r>
            <w:r>
              <w:rPr>
                <w:sz w:val="20"/>
                <w:szCs w:val="20"/>
                <w:color w:val="FFC000"/>
              </w:rPr>
              <w:t xml:space="preserve">(2C)</w:t>
            </w:r>
            <w:r>
              <w:br/>
            </w:r>
            <w:r>
              <w:rPr>
                <w:sz w:val="20"/>
                <w:szCs w:val="20"/>
              </w:rPr>
              <w:t xml:space="preserve">Olaparib, Rucaparib </w:t>
            </w:r>
            <w:r>
              <w:rPr>
                <w:sz w:val="20"/>
                <w:szCs w:val="20"/>
                <w:color w:val="FFC000"/>
              </w:rPr>
              <w:t xml:space="preserve">(2C)</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ERBB2 Amplification</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Ado-trastuzumab emtansine, Fam-trastuzumab deruxtecan-nxki </w:t>
            </w:r>
            <w:r>
              <w:rPr>
                <w:sz w:val="20"/>
                <w:szCs w:val="20"/>
                <w:color w:val="70AD47"/>
              </w:rPr>
              <w:t xml:space="preserve">(1A)</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Trastuzumab, Trastuzumab + Pembrolizumab </w:t>
            </w:r>
            <w:r>
              <w:rPr>
                <w:sz w:val="20"/>
                <w:szCs w:val="20"/>
                <w:color w:val="FFC000"/>
              </w:rPr>
              <w:t xml:space="preserve">(2C)</w:t>
            </w:r>
            <w:r>
              <w:br/>
            </w:r>
            <w:r>
              <w:rPr>
                <w:sz w:val="20"/>
                <w:szCs w:val="20"/>
              </w:rPr>
              <w:t xml:space="preserve">Fam-trastuzumab deruxtecan, Trastuzumab, Trastuzumab + Pembrolizumab </w:t>
            </w:r>
            <w:r>
              <w:rPr>
                <w:sz w:val="20"/>
                <w:szCs w:val="20"/>
                <w:color w:val="FFC000"/>
              </w:rPr>
              <w:t xml:space="preserve">(2C)</w:t>
            </w:r>
            <w:r>
              <w:br/>
            </w:r>
            <w:r>
              <w:rPr>
                <w:sz w:val="20"/>
                <w:szCs w:val="20"/>
              </w:rPr>
              <w:t xml:space="preserve">Lapatinib, Margetuximab-cmkb, Neratinib, Trastuzumab, Trastuzumab + Lapatinib, Trastuzumab + Pertuzumab, Trastuzumab + Tucatinib </w:t>
            </w:r>
            <w:r>
              <w:rPr>
                <w:sz w:val="20"/>
                <w:szCs w:val="20"/>
                <w:color w:val="FFC000"/>
              </w:rPr>
              <w:t xml:space="preserve">(2C)</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Afatinib, Trastuzumab </w:t>
            </w:r>
            <w:r>
              <w:rPr>
                <w:sz w:val="20"/>
                <w:szCs w:val="20"/>
                <w:color w:val="70AD47"/>
              </w:rPr>
              <w:t xml:space="preserve">(1A)</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Yes, see clinical trials section</w:t>
            </w:r>
            <w:proofErr w:type="spellStart"/>
            <w:r w:rsidRPr="00C35069">
              <w:rPr>
                <w:sz w:val="20"/>
                <w:szCs w:val="20"/>
              </w:rPr>
              <w:t/>
            </w:r>
            <w:proofErr w:type="spellEnd"/>
            <w:r w:rsidRPr="00C35069">
              <w:rPr>
                <w:sz w:val="20"/>
                <w:szCs w:val="20"/>
              </w:rPr>
              <w:t/>
            </w:r>
          </w:p>
        </w:tc>
      </w:tr>
      <w:tr w:rsidR="00785D7D" w14:paraId="01AB04B8" w14:textId="77777777" w:rsidTr="003302E6">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620" w:type="dxa"/>
          </w:tcPr>
          <w:p w14:paraId="7DA11CB1" w14:textId="77777777" w:rsidR="00785D7D" w:rsidRPr="00C35069" w:rsidRDefault="00785D7D" w:rsidP="003302E6">
            <w:pPr>
              <w:rPr>
                <w:rFonts w:cstheme="minorHAnsi"/>
                <w:b w:val="0"/>
                <w:smallCaps/>
              </w:rPr>
            </w:pPr>
            <w:r w:rsidRPr="00C35069">
              <w:rPr>
                <w:b w:val="0"/>
                <w:i/>
                <w:sz w:val="20"/>
                <w:szCs w:val="20"/>
              </w:rPr>
              <w:t/>
            </w:r>
            <w:r>
              <w:rPr>
                <w:sz w:val="20"/>
                <w:szCs w:val="20"/>
              </w:rPr>
              <w:t xml:space="preserve">ABL1 Fusion with BCR</w:t>
            </w:r>
          </w:p>
        </w:tc>
        <w:tc>
          <w:tcPr>
            <w:tcW w:w="2306" w:type="dxa"/>
          </w:tcPr>
          <w:p w14:paraId="28D6B9B3"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None</w:t>
            </w:r>
            <w:proofErr w:type="spellStart"/>
            <w:r w:rsidRPr="00C35069">
              <w:rPr>
                <w:sz w:val="20"/>
                <w:szCs w:val="20"/>
              </w:rPr>
              <w:t/>
            </w:r>
            <w:proofErr w:type="spellEnd"/>
            <w:r w:rsidRPr="00C35069">
              <w:rPr>
                <w:sz w:val="20"/>
                <w:szCs w:val="20"/>
              </w:rPr>
              <w:t/>
            </w:r>
          </w:p>
        </w:tc>
        <w:tc>
          <w:tcPr>
            <w:tcW w:w="2340" w:type="dxa"/>
          </w:tcPr>
          <w:p w14:paraId="509EC432"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Asciminib, Bosutinib, Dasatinib, Imatinib, Nilotinib, Ponatinib </w:t>
            </w:r>
            <w:r>
              <w:rPr>
                <w:sz w:val="20"/>
                <w:szCs w:val="20"/>
                <w:color w:val="FFC000"/>
              </w:rPr>
              <w:t xml:space="preserve">(2C)</w:t>
            </w:r>
            <w:proofErr w:type="spellStart"/>
            <w:r w:rsidRPr="00C35069">
              <w:rPr>
                <w:i/>
                <w:iCs/>
                <w:sz w:val="20"/>
                <w:szCs w:val="20"/>
              </w:rPr>
              <w:t/>
            </w:r>
            <w:proofErr w:type="spellEnd"/>
            <w:r w:rsidRPr="00C35069">
              <w:rPr>
                <w:i/>
                <w:iCs/>
                <w:sz w:val="20"/>
                <w:szCs w:val="20"/>
              </w:rPr>
              <w:t/>
            </w:r>
          </w:p>
        </w:tc>
        <w:tc>
          <w:tcPr>
            <w:tcW w:w="1530" w:type="dxa"/>
          </w:tcPr>
          <w:p w14:paraId="75D98688"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None</w:t>
            </w:r>
          </w:p>
        </w:tc>
        <w:tc>
          <w:tcPr>
            <w:tcW w:w="3004" w:type="dxa"/>
          </w:tcPr>
          <w:p w14:paraId="350AFD7A" w14:textId="77777777" w:rsidR="00785D7D" w:rsidRPr="00C35069" w:rsidRDefault="00785D7D" w:rsidP="003302E6">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rPr>
              <w:t xml:space="preserve">No</w:t>
            </w:r>
            <w:proofErr w:type="spellStart"/>
            <w:r w:rsidRPr="00C35069">
              <w:rPr>
                <w:sz w:val="20"/>
                <w:szCs w:val="20"/>
              </w:rPr>
              <w:t/>
            </w:r>
            <w:proofErr w:type="spellEnd"/>
            <w:r w:rsidRPr="00C35069">
              <w:rPr>
                <w:sz w:val="20"/>
                <w:szCs w:val="20"/>
              </w:rPr>
              <w:t/>
            </w:r>
          </w:p>
        </w:tc>
      </w:tr>
    </w:tbl>
    <w:p w14:paraId="18E0C0B1" w14:textId="59F9E6E6" w:rsidR="00785D7D" w:rsidRPr="00102DF1" w:rsidRDefault="00A52D9E" w:rsidP="00785D7D">
      <w:pPr>
        <w:rPr>
          <w:rFonts w:cstheme="minorHAnsi"/>
        </w:rPr>
      </w:pPr>
      <w:r>
        <w:rPr>
          <w:rFonts w:cstheme="minorHAnsi"/>
        </w:rPr>
        <w:t/>
      </w:r>
      <w:r w:rsidR="00D855D7" w:rsidRPr="00D855D7">
        <w:rPr>
          <w:rFonts w:cstheme="minorHAnsi"/>
        </w:rPr>
        <w:t/>
      </w:r>
      <w:r>
        <w:rPr>
          <w:rFonts w:cstheme="minorHAnsi"/>
        </w:rPr>
        <w:t/>
      </w:r>
    </w:p>
    <w:p w14:paraId="014D027A" w14:textId="77777777" w:rsidR="00785D7D" w:rsidRPr="00D7205E" w:rsidRDefault="00785D7D" w:rsidP="00785D7D">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 </w:t>
      </w:r>
      <w:r w:rsidRPr="0029646D">
        <w:rPr>
          <w:rFonts w:cstheme="majorHAnsi"/>
          <w:b/>
          <w:smallCaps/>
          <w:color w:val="FFFFFF" w:themeColor="background1"/>
          <w:spacing w:val="10"/>
        </w:rPr>
        <w:t xml:space="preserve"> </w:t>
      </w:r>
      <w:r>
        <w:rPr>
          <w:rFonts w:cstheme="majorHAnsi"/>
          <w:b/>
          <w:smallCaps/>
          <w:color w:val="FFFFFF" w:themeColor="background1"/>
          <w:spacing w:val="10"/>
        </w:rPr>
        <w:t xml:space="preserve">Genomic Findings with Prognostic or Diagnostic Evidence</w:t>
      </w:r>
    </w:p>
    <w:tbl>
      <w:tblPr>
        <w:tblStyle w:val="ListTable6Colorful-Accent3"/>
        <w:tblpPr w:leftFromText="180" w:rightFromText="180" w:vertAnchor="text" w:tblpX="108" w:tblpY="1"/>
        <w:tblOverlap w:val="never"/>
        <w:tblW w:w="10776" w:type="dxa"/>
        <w:tblLayout w:type="fixed"/>
        <w:tblLook w:val="04A0" w:firstRow="1" w:lastRow="0" w:firstColumn="1" w:lastColumn="0" w:noHBand="0" w:noVBand="1"/>
      </w:tblPr>
      <w:tblGrid>
        <w:gridCol w:w="2064"/>
        <w:gridCol w:w="2824"/>
        <w:gridCol w:w="2738"/>
        <w:gridCol w:w="3150"/>
      </w:tblGrid>
      <w:tr w:rsidR="00785D7D" w14:paraId="424F6398" w14:textId="77777777" w:rsidTr="00545CC8">
        <w:trPr>
          <w:cnfStyle w:val="100000000000" w:firstRow="1" w:lastRow="0" w:firstColumn="0" w:lastColumn="0" w:oddVBand="0" w:evenVBand="0" w:oddHBand="0" w:evenHBand="0" w:firstRowFirstColumn="0" w:firstRowLastColumn="0" w:lastRowFirstColumn="0" w:lastRowLastColumn="0"/>
          <w:cantSplit/>
          <w:trHeight w:val="533"/>
        </w:trPr>
        <w:tc>
          <w:tcPr>
            <w:cnfStyle w:val="001000000000" w:firstRow="0" w:lastRow="0" w:firstColumn="1" w:lastColumn="0" w:oddVBand="0" w:evenVBand="0" w:oddHBand="0" w:evenHBand="0" w:firstRowFirstColumn="0" w:firstRowLastColumn="0" w:lastRowFirstColumn="0" w:lastRowLastColumn="0"/>
            <w:tcW w:w="2064" w:type="dxa"/>
            <w:vAlign w:val="bottom"/>
          </w:tcPr>
          <w:p w14:paraId="0264A0F8" w14:textId="77777777" w:rsidR="00785D7D" w:rsidRPr="00D7205E" w:rsidRDefault="00785D7D" w:rsidP="00545CC8">
            <w:pPr>
              <w:rPr>
                <w:rFonts w:cstheme="minorHAnsi"/>
                <w:color w:val="0D0D0D" w:themeColor="text1" w:themeTint="F2"/>
                <w:sz w:val="20"/>
                <w:szCs w:val="20"/>
              </w:rPr>
            </w:pPr>
            <w:r w:rsidRPr="00D7205E">
              <w:rPr>
                <w:rFonts w:cstheme="minorHAnsi"/>
                <w:smallCaps/>
                <w:color w:val="0D0D0D" w:themeColor="text1" w:themeTint="F2"/>
              </w:rPr>
              <w:t xml:space="preserve">Gene</w:t>
            </w:r>
          </w:p>
        </w:tc>
        <w:tc>
          <w:tcPr>
            <w:tcW w:w="2824" w:type="dxa"/>
            <w:vAlign w:val="bottom"/>
          </w:tcPr>
          <w:p w14:paraId="698008BC" w14:textId="77777777" w:rsidR="00785D7D" w:rsidRPr="00D7205E" w:rsidRDefault="00785D7D" w:rsidP="00545CC8">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sidRPr="00D7205E">
              <w:rPr>
                <w:rFonts w:cstheme="minorHAnsi"/>
                <w:smallCaps/>
                <w:color w:val="0D0D0D" w:themeColor="text1" w:themeTint="F2"/>
              </w:rPr>
              <w:t xml:space="preserve">Description</w:t>
            </w:r>
          </w:p>
        </w:tc>
        <w:tc>
          <w:tcPr>
            <w:tcW w:w="2738" w:type="dxa"/>
            <w:vAlign w:val="bottom"/>
          </w:tcPr>
          <w:p w14:paraId="6FDBF3F0" w14:textId="77777777" w:rsidR="00785D7D" w:rsidRPr="00D7205E" w:rsidRDefault="00785D7D" w:rsidP="00545CC8">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sidRPr="00D7205E">
              <w:rPr>
                <w:rFonts w:cstheme="minorHAnsi"/>
                <w:smallCaps/>
                <w:color w:val="0D0D0D" w:themeColor="text1" w:themeTint="F2"/>
              </w:rPr>
              <w:t xml:space="preserve">Location</w:t>
            </w:r>
          </w:p>
        </w:tc>
        <w:tc>
          <w:tcPr>
            <w:tcW w:w="3150" w:type="dxa"/>
            <w:vAlign w:val="bottom"/>
          </w:tcPr>
          <w:p w14:paraId="642A3566" w14:textId="77777777" w:rsidR="00785D7D" w:rsidRPr="00D7205E" w:rsidRDefault="00785D7D" w:rsidP="00545CC8">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Evidence</w:t>
            </w:r>
          </w:p>
        </w:tc>
      </w:tr>
      <w:tr w:rsidR="00785D7D" w14:paraId="658AFA45" w14:textId="77777777" w:rsidTr="00545CC8">
        <w:trPr>
          <w:cnfStyle w:val="000000100000" w:firstRow="0" w:lastRow="0" w:firstColumn="0" w:lastColumn="0" w:oddVBand="0" w:evenVBand="0" w:oddHBand="1" w:evenHBand="0" w:firstRowFirstColumn="0" w:firstRowLastColumn="0" w:lastRowFirstColumn="0" w:lastRowLastColumn="0"/>
          <w:cantSplit/>
          <w:trHeight w:val="533"/>
        </w:trPr>
        <w:tc>
          <w:tcPr>
            <w:cnfStyle w:val="001000000000" w:firstRow="0" w:lastRow="0" w:firstColumn="1" w:lastColumn="0" w:oddVBand="0" w:evenVBand="0" w:oddHBand="0" w:evenHBand="0" w:firstRowFirstColumn="0" w:firstRowLastColumn="0" w:lastRowFirstColumn="0" w:lastRowLastColumn="0"/>
            <w:tcW w:w="2064" w:type="dxa"/>
            <w:vAlign w:val="center"/>
          </w:tcPr>
          <w:p w14:paraId="7AAC9A61" w14:textId="77777777" w:rsidR="00785D7D" w:rsidRPr="00C35069" w:rsidRDefault="00785D7D" w:rsidP="00545CC8">
            <w:pPr>
              <w:rPr>
                <w:rFonts w:cstheme="minorHAnsi"/>
                <w:smallCaps/>
              </w:rPr>
            </w:pPr>
            <w:r w:rsidRPr="00C35069">
              <w:rPr>
                <w:b w:val="0"/>
                <w:i/>
                <w:sz w:val="20"/>
                <w:szCs w:val="20"/>
              </w:rPr>
              <w:lastRenderedPageBreak/>
              <w:t xml:space="preserve">BRAF</w:t>
            </w:r>
          </w:p>
        </w:tc>
        <w:tc>
          <w:tcPr>
            <w:tcW w:w="2824" w:type="dxa"/>
            <w:vAlign w:val="center"/>
          </w:tcPr>
          <w:p w14:paraId="4AAB651D" w14:textId="77777777" w:rsidR="00785D7D" w:rsidRPr="00C35069" w:rsidRDefault="00785D7D" w:rsidP="00545CC8">
            <w:pPr>
              <w:cnfStyle w:val="000000100000" w:firstRow="0" w:lastRow="0" w:firstColumn="0" w:lastColumn="0" w:oddVBand="0" w:evenVBand="0" w:oddHBand="1" w:evenHBand="0" w:firstRowFirstColumn="0" w:firstRowLastColumn="0" w:lastRowFirstColumn="0" w:lastRowLastColumn="0"/>
              <w:rPr>
                <w:rFonts w:cstheme="minorHAnsi"/>
                <w:smallCaps/>
              </w:rPr>
            </w:pPr>
            <w:r w:rsidRPr="00C35069">
              <w:rPr>
                <w:sz w:val="20"/>
                <w:szCs w:val="20"/>
              </w:rPr>
              <w:t xml:space="preserve">Val600Glu</w:t>
            </w:r>
          </w:p>
        </w:tc>
        <w:tc>
          <w:tcPr>
            <w:tcW w:w="2738" w:type="dxa"/>
            <w:vAlign w:val="center"/>
          </w:tcPr>
          <w:p w14:paraId="2C52D657" w14:textId="77777777" w:rsidR="00785D7D" w:rsidRPr="00C35069" w:rsidRDefault="00785D7D" w:rsidP="00545CC8">
            <w:pPr>
              <w:cnfStyle w:val="000000100000" w:firstRow="0" w:lastRow="0" w:firstColumn="0" w:lastColumn="0" w:oddVBand="0" w:evenVBand="0" w:oddHBand="1" w:evenHBand="0" w:firstRowFirstColumn="0" w:firstRowLastColumn="0" w:lastRowFirstColumn="0" w:lastRowLastColumn="0"/>
              <w:rPr>
                <w:rFonts w:cstheme="minorHAnsi"/>
                <w:smallCaps/>
              </w:rPr>
            </w:pPr>
            <w:r w:rsidRPr="00C35069">
              <w:rPr>
                <w:sz w:val="20"/>
                <w:szCs w:val="20"/>
              </w:rPr>
              <w:t xml:space="preserve">Exon 15</w:t>
            </w:r>
          </w:p>
        </w:tc>
        <w:tc>
          <w:tcPr>
            <w:tcW w:w="3150" w:type="dxa"/>
            <w:vAlign w:val="center"/>
          </w:tcPr>
          <w:p w14:paraId="00F5820E" w14:textId="77777777" w:rsidR="00785D7D" w:rsidRPr="00C35069" w:rsidRDefault="00785D7D" w:rsidP="00545CC8">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color w:val="FFC000"/>
              </w:rPr>
              <w:t xml:space="preserve">Prognostic Tier II - Level C</w:t>
            </w:r>
            <w:r>
              <w:br/>
            </w:r>
            <w:r>
              <w:rPr>
                <w:sz w:val="20"/>
                <w:szCs w:val="20"/>
                <w:color w:val="70AD47"/>
              </w:rPr>
              <w:t xml:space="preserve">Diagnostic Tier I - Level A</w:t>
            </w:r>
          </w:p>
        </w:tc>
      </w:tr>
      <w:tr w:rsidR="00785D7D" w14:paraId="658AFA45" w14:textId="77777777" w:rsidTr="00545CC8">
        <w:trPr>
          <w:cnfStyle w:val="000000100000" w:firstRow="0" w:lastRow="0" w:firstColumn="0" w:lastColumn="0" w:oddVBand="0" w:evenVBand="0" w:oddHBand="1" w:evenHBand="0" w:firstRowFirstColumn="0" w:firstRowLastColumn="0" w:lastRowFirstColumn="0" w:lastRowLastColumn="0"/>
          <w:cantSplit/>
          <w:trHeight w:val="533"/>
        </w:trPr>
        <w:tc>
          <w:tcPr>
            <w:cnfStyle w:val="001000000000" w:firstRow="0" w:lastRow="0" w:firstColumn="1" w:lastColumn="0" w:oddVBand="0" w:evenVBand="0" w:oddHBand="0" w:evenHBand="0" w:firstRowFirstColumn="0" w:firstRowLastColumn="0" w:lastRowFirstColumn="0" w:lastRowLastColumn="0"/>
            <w:tcW w:w="2064" w:type="dxa"/>
            <w:vAlign w:val="center"/>
          </w:tcPr>
          <w:p w14:paraId="7AAC9A61" w14:textId="77777777" w:rsidR="00785D7D" w:rsidRPr="00C35069" w:rsidRDefault="00785D7D" w:rsidP="00545CC8">
            <w:pPr>
              <w:rPr>
                <w:rFonts w:cstheme="minorHAnsi"/>
                <w:smallCaps/>
              </w:rPr>
            </w:pPr>
            <w:r w:rsidRPr="00C35069">
              <w:rPr>
                <w:b w:val="0"/>
                <w:i/>
                <w:sz w:val="20"/>
                <w:szCs w:val="20"/>
              </w:rPr>
              <w:lastRenderedPageBreak/>
              <w:t xml:space="preserve">ERBB2</w:t>
            </w:r>
          </w:p>
        </w:tc>
        <w:tc>
          <w:tcPr>
            <w:tcW w:w="2824" w:type="dxa"/>
            <w:vAlign w:val="center"/>
          </w:tcPr>
          <w:p w14:paraId="4AAB651D" w14:textId="77777777" w:rsidR="00785D7D" w:rsidRPr="00C35069" w:rsidRDefault="00785D7D" w:rsidP="00545CC8">
            <w:pPr>
              <w:cnfStyle w:val="000000100000" w:firstRow="0" w:lastRow="0" w:firstColumn="0" w:lastColumn="0" w:oddVBand="0" w:evenVBand="0" w:oddHBand="1" w:evenHBand="0" w:firstRowFirstColumn="0" w:firstRowLastColumn="0" w:lastRowFirstColumn="0" w:lastRowLastColumn="0"/>
              <w:rPr>
                <w:rFonts w:cstheme="minorHAnsi"/>
                <w:smallCaps/>
              </w:rPr>
            </w:pPr>
            <w:r w:rsidRPr="00C35069">
              <w:rPr>
                <w:sz w:val="20"/>
                <w:szCs w:val="20"/>
              </w:rPr>
              <w:t xml:space="preserve">Amplification</w:t>
            </w:r>
          </w:p>
        </w:tc>
        <w:tc>
          <w:tcPr>
            <w:tcW w:w="2738" w:type="dxa"/>
            <w:vAlign w:val="center"/>
          </w:tcPr>
          <w:p w14:paraId="2C52D657" w14:textId="77777777" w:rsidR="00785D7D" w:rsidRPr="00C35069" w:rsidRDefault="00785D7D" w:rsidP="00545CC8">
            <w:pPr>
              <w:cnfStyle w:val="000000100000" w:firstRow="0" w:lastRow="0" w:firstColumn="0" w:lastColumn="0" w:oddVBand="0" w:evenVBand="0" w:oddHBand="1" w:evenHBand="0" w:firstRowFirstColumn="0" w:firstRowLastColumn="0" w:lastRowFirstColumn="0" w:lastRowLastColumn="0"/>
              <w:rPr>
                <w:rFonts w:cstheme="minorHAnsi"/>
                <w:smallCaps/>
              </w:rPr>
            </w:pPr>
            <w:r w:rsidRPr="00C35069">
              <w:rPr>
                <w:sz w:val="20"/>
                <w:szCs w:val="20"/>
              </w:rPr>
              <w:t xml:space="preserve">Amplification</w:t>
            </w:r>
          </w:p>
        </w:tc>
        <w:tc>
          <w:tcPr>
            <w:tcW w:w="3150" w:type="dxa"/>
            <w:vAlign w:val="center"/>
          </w:tcPr>
          <w:p w14:paraId="00F5820E" w14:textId="77777777" w:rsidR="00785D7D" w:rsidRPr="00C35069" w:rsidRDefault="00785D7D" w:rsidP="00545CC8">
            <w:pPr>
              <w:cnfStyle w:val="000000100000" w:firstRow="0" w:lastRow="0" w:firstColumn="0" w:lastColumn="0" w:oddVBand="0" w:evenVBand="0" w:oddHBand="1" w:evenHBand="0" w:firstRowFirstColumn="0" w:firstRowLastColumn="0" w:lastRowFirstColumn="0" w:lastRowLastColumn="0"/>
              <w:rPr>
                <w:rFonts w:cstheme="minorHAnsi"/>
                <w:smallCaps/>
              </w:rPr>
            </w:pPr>
            <w:r>
              <w:rPr>
                <w:sz w:val="20"/>
                <w:szCs w:val="20"/>
                <w:color w:val="70AD47"/>
              </w:rPr>
              <w:t xml:space="preserve">Prognostic Tier I - Level B</w:t>
            </w:r>
          </w:p>
        </w:tc>
      </w:tr>
    </w:tbl>
    <w:p w14:paraId="340FD8D2" w14:textId="7FE8B531" w:rsidR="00407CE3" w:rsidRPr="00A52D9E" w:rsidRDefault="00A52D9E" w:rsidP="00BE7E03">
      <w:pPr>
        <w:rPr>
          <w:rFonts w:cstheme="minorHAnsi"/>
          <w:color w:val="000000" w:themeColor="text1"/>
        </w:rPr>
      </w:pPr>
      <w:r w:rsidRPr="00A52D9E">
        <w:rPr>
          <w:rFonts w:cstheme="minorHAnsi"/>
          <w:color w:val="000000" w:themeColor="text1"/>
        </w:rPr>
        <w:t/>
      </w:r>
      <w:r w:rsidR="0063144D">
        <w:rPr>
          <w:rFonts w:cstheme="minorHAnsi"/>
          <w:color w:val="000000" w:themeColor="text1"/>
        </w:rPr>
        <w:t/>
      </w:r>
      <w:r w:rsidR="0063144D" w:rsidRPr="0063144D">
        <w:rPr>
          <w:rFonts w:cstheme="minorHAnsi"/>
          <w:color w:val="000000" w:themeColor="text1"/>
        </w:rPr>
        <w:t/>
      </w:r>
      <w:r w:rsidR="0063144D">
        <w:rPr>
          <w:rFonts w:cstheme="minorHAnsi"/>
          <w:color w:val="000000" w:themeColor="text1"/>
        </w:rPr>
        <w:t/>
      </w:r>
    </w:p>
    <w:p w14:paraId="04F7C009" w14:textId="037F05AA" w:rsidR="00BE7E03" w:rsidRPr="00D7205E" w:rsidRDefault="003B471F" w:rsidP="00BE7E03">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Somatic </w:t>
      </w:r>
      <w:r w:rsidR="00BE7E03">
        <w:rPr>
          <w:rFonts w:cstheme="majorHAnsi"/>
          <w:b/>
          <w:smallCaps/>
          <w:color w:val="FFFFFF" w:themeColor="background1"/>
          <w:spacing w:val="10"/>
        </w:rPr>
        <w:t xml:space="preserve">Variants with </w:t>
      </w:r>
      <w:r w:rsidR="00F67FF5">
        <w:rPr>
          <w:rFonts w:cstheme="majorHAnsi"/>
          <w:b/>
          <w:smallCaps/>
          <w:color w:val="FFFFFF" w:themeColor="background1"/>
          <w:spacing w:val="10"/>
        </w:rPr>
        <w:t xml:space="preserve">C</w:t>
      </w:r>
      <w:r w:rsidR="00BE7E03">
        <w:rPr>
          <w:rFonts w:cstheme="majorHAnsi"/>
          <w:b/>
          <w:smallCaps/>
          <w:color w:val="FFFFFF" w:themeColor="background1"/>
          <w:spacing w:val="10"/>
        </w:rPr>
        <w:t xml:space="preserve">linical </w:t>
      </w:r>
      <w:r w:rsidR="00F67FF5">
        <w:rPr>
          <w:rFonts w:cstheme="majorHAnsi"/>
          <w:b/>
          <w:smallCaps/>
          <w:color w:val="FFFFFF" w:themeColor="background1"/>
          <w:spacing w:val="10"/>
        </w:rPr>
        <w:t xml:space="preserve">E</w:t>
      </w:r>
      <w:r w:rsidR="00BE7E03">
        <w:rPr>
          <w:rFonts w:cstheme="majorHAnsi"/>
          <w:b/>
          <w:smallCaps/>
          <w:color w:val="FFFFFF" w:themeColor="background1"/>
          <w:spacing w:val="10"/>
        </w:rPr>
        <w:t xml:space="preserve">vidence</w:t>
      </w:r>
    </w:p>
    <w:tbl>
      <w:tblPr>
        <w:tblStyle w:val="ListTable6Colorful-Accent3"/>
        <w:tblpPr w:leftFromText="180" w:rightFromText="180" w:vertAnchor="text" w:tblpX="126" w:tblpY="1"/>
        <w:tblOverlap w:val="never"/>
        <w:tblW w:w="10756" w:type="dxa"/>
        <w:tblLayout w:type="fixed"/>
        <w:tblLook w:val="04A0" w:firstRow="1" w:lastRow="0" w:firstColumn="1" w:lastColumn="0" w:noHBand="0" w:noVBand="1"/>
      </w:tblPr>
      <w:tblGrid>
        <w:gridCol w:w="1867"/>
        <w:gridCol w:w="1167"/>
        <w:gridCol w:w="1844"/>
        <w:gridCol w:w="1350"/>
        <w:gridCol w:w="1800"/>
        <w:gridCol w:w="2728"/>
      </w:tblGrid>
      <w:tr w:rsidR="003061E9" w14:paraId="5AFE6498" w14:textId="367DD664" w:rsidTr="003061E9">
        <w:trPr>
          <w:cnfStyle w:val="100000000000" w:firstRow="1" w:lastRow="0" w:firstColumn="0" w:lastColumn="0" w:oddVBand="0" w:evenVBand="0" w:oddHBand="0" w:evenHBand="0" w:firstRowFirstColumn="0" w:firstRowLastColumn="0" w:lastRowFirstColumn="0" w:lastRowLastColumn="0"/>
          <w:cantSplit/>
          <w:trHeight w:val="431"/>
        </w:trPr>
        <w:tc>
          <w:tcPr>
            <w:cnfStyle w:val="001000000000" w:firstRow="0" w:lastRow="0" w:firstColumn="1" w:lastColumn="0" w:oddVBand="0" w:evenVBand="0" w:oddHBand="0" w:evenHBand="0" w:firstRowFirstColumn="0" w:firstRowLastColumn="0" w:lastRowFirstColumn="0" w:lastRowLastColumn="0"/>
            <w:tcW w:w="1867" w:type="dxa"/>
            <w:vAlign w:val="bottom"/>
          </w:tcPr>
          <w:p w14:paraId="0942BCB5" w14:textId="77777777" w:rsidR="003061E9" w:rsidRPr="00D7205E" w:rsidRDefault="003061E9" w:rsidP="003061E9">
            <w:pPr>
              <w:rPr>
                <w:rFonts w:cstheme="minorHAnsi"/>
                <w:color w:val="0D0D0D" w:themeColor="text1" w:themeTint="F2"/>
                <w:sz w:val="20"/>
                <w:szCs w:val="20"/>
              </w:rPr>
            </w:pPr>
            <w:r w:rsidRPr="00D7205E">
              <w:rPr>
                <w:rFonts w:cstheme="minorHAnsi"/>
                <w:smallCaps/>
                <w:color w:val="0D0D0D" w:themeColor="text1" w:themeTint="F2"/>
              </w:rPr>
              <w:t xml:space="preserve">Ge</w:t>
            </w:r>
            <w:r>
              <w:rPr>
                <w:rFonts w:cstheme="minorHAnsi"/>
                <w:smallCaps/>
                <w:color w:val="0D0D0D" w:themeColor="text1" w:themeTint="F2"/>
              </w:rPr>
              <w:t xml:space="preserve">nomic Finding</w:t>
            </w:r>
          </w:p>
        </w:tc>
        <w:tc>
          <w:tcPr>
            <w:tcW w:w="1167" w:type="dxa"/>
            <w:vAlign w:val="bottom"/>
          </w:tcPr>
          <w:p w14:paraId="604E14F6" w14:textId="1414AA63" w:rsidR="003061E9" w:rsidRPr="00D7205E" w:rsidRDefault="00750D4C" w:rsidP="003061E9">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VAF</w:t>
            </w:r>
          </w:p>
        </w:tc>
        <w:tc>
          <w:tcPr>
            <w:tcW w:w="1844" w:type="dxa"/>
            <w:vAlign w:val="bottom"/>
          </w:tcPr>
          <w:p w14:paraId="2E871DD3" w14:textId="77777777" w:rsidR="003061E9" w:rsidRPr="00D7205E" w:rsidRDefault="003061E9" w:rsidP="003061E9">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Impact</w:t>
            </w:r>
          </w:p>
        </w:tc>
        <w:tc>
          <w:tcPr>
            <w:tcW w:w="1350" w:type="dxa"/>
            <w:vAlign w:val="bottom"/>
          </w:tcPr>
          <w:p w14:paraId="108FF62E" w14:textId="77777777" w:rsidR="003061E9" w:rsidRPr="00D7205E" w:rsidRDefault="003061E9" w:rsidP="003061E9">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Location</w:t>
            </w:r>
          </w:p>
        </w:tc>
        <w:tc>
          <w:tcPr>
            <w:tcW w:w="1800" w:type="dxa"/>
            <w:vAlign w:val="bottom"/>
          </w:tcPr>
          <w:p w14:paraId="2F794951" w14:textId="77777777" w:rsidR="003061E9" w:rsidRDefault="003061E9" w:rsidP="003061E9">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Classification</w:t>
            </w:r>
          </w:p>
        </w:tc>
        <w:tc>
          <w:tcPr>
            <w:tcW w:w="2728" w:type="dxa"/>
            <w:vAlign w:val="bottom"/>
          </w:tcPr>
          <w:p w14:paraId="08332C90" w14:textId="62B0EA51" w:rsidR="003061E9" w:rsidRDefault="003061E9" w:rsidP="003061E9">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Evidence</w:t>
            </w:r>
          </w:p>
        </w:tc>
      </w:tr>
      <w:tr w:rsidR="003061E9" w:rsidRPr="00DB7AB8" w14:paraId="045ADC29" w14:textId="704B84F1" w:rsidTr="003061E9">
        <w:trPr>
          <w:cnfStyle w:val="000000100000" w:firstRow="0" w:lastRow="0" w:firstColumn="0" w:lastColumn="0" w:oddVBand="0" w:evenVBand="0" w:oddHBand="1" w:evenHBand="0" w:firstRowFirstColumn="0" w:firstRowLastColumn="0" w:lastRowFirstColumn="0" w:lastRowLastColumn="0"/>
          <w:cantSplit/>
          <w:trHeight w:val="505"/>
        </w:trPr>
        <w:tc>
          <w:tcPr>
            <w:cnfStyle w:val="001000000000" w:firstRow="0" w:lastRow="0" w:firstColumn="1" w:lastColumn="0" w:oddVBand="0" w:evenVBand="0" w:oddHBand="0" w:evenHBand="0" w:firstRowFirstColumn="0" w:firstRowLastColumn="0" w:lastRowFirstColumn="0" w:lastRowLastColumn="0"/>
            <w:tcW w:w="1867" w:type="dxa"/>
            <w:vAlign w:val="center"/>
          </w:tcPr>
          <w:p w14:paraId="6C65EF96" w14:textId="45E5BA9C" w:rsidR="003061E9" w:rsidRPr="008545D6" w:rsidRDefault="00D70476" w:rsidP="003061E9">
            <w:pPr>
              <w:spacing w:line="276" w:lineRule="auto"/>
              <w:rPr>
                <w:bCs w:val="0"/>
                <w:i/>
                <w:color w:val="404040" w:themeColor="text1" w:themeTint="BF"/>
                <w:sz w:val="20"/>
                <w:szCs w:val="20"/>
              </w:rPr>
            </w:pPr>
            <w:r>
              <w:rPr>
                <w:bCs w:val="0"/>
                <w:i/>
                <w:color w:val="404040" w:themeColor="text1" w:themeTint="BF"/>
                <w:sz w:val="20"/>
                <w:szCs w:val="20"/>
              </w:rPr>
              <w:t/>
            </w:r>
            <w:r w:rsidRPr="00D70476">
              <w:rPr>
                <w:bCs w:val="0"/>
                <w:i/>
                <w:color w:val="404040" w:themeColor="text1" w:themeTint="BF"/>
                <w:sz w:val="20"/>
                <w:szCs w:val="20"/>
              </w:rPr>
              <w:t/>
            </w:r>
            <w:r>
              <w:rPr>
                <w:bCs w:val="0"/>
                <w:i/>
                <w:color w:val="404040" w:themeColor="text1" w:themeTint="BF"/>
                <w:sz w:val="20"/>
                <w:szCs w:val="20"/>
              </w:rPr>
              <w:t xml:space="preserve">BRAF</w:t>
            </w:r>
          </w:p>
          <w:p w14:paraId="1DA53B90" w14:textId="3106E561" w:rsidR="003061E9" w:rsidRPr="00C35069" w:rsidRDefault="00D70476" w:rsidP="003061E9">
            <w:pPr>
              <w:spacing w:line="276" w:lineRule="auto"/>
              <w:rPr>
                <w:b w:val="0"/>
                <w:iCs/>
                <w:sz w:val="20"/>
                <w:szCs w:val="20"/>
              </w:rPr>
            </w:pPr>
            <w:r w:rsidRPr="00C35069">
              <w:rPr>
                <w:b w:val="0"/>
                <w:iCs/>
                <w:sz w:val="20"/>
                <w:szCs w:val="20"/>
              </w:rPr>
              <w:t xml:space="preserve">Val600Glu</w:t>
            </w:r>
          </w:p>
        </w:tc>
        <w:tc>
          <w:tcPr>
            <w:tcW w:w="1167" w:type="dxa"/>
            <w:vAlign w:val="center"/>
          </w:tcPr>
          <w:p w14:paraId="66EAD6B5" w14:textId="59C4C4BA" w:rsidR="003061E9" w:rsidRPr="00C35069" w:rsidRDefault="00D70476" w:rsidP="003061E9">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sz w:val="20"/>
                <w:szCs w:val="20"/>
              </w:rPr>
              <w:t xml:space="preserve">6.18%</w:t>
            </w:r>
            <w:proofErr w:type="spellStart"/>
            <w:r w:rsidR="0017031A" w:rsidRPr="00C35069">
              <w:rPr>
                <w:sz w:val="20"/>
                <w:szCs w:val="20"/>
              </w:rPr>
              <w:t/>
            </w:r>
            <w:proofErr w:type="spellEnd"/>
            <w:r w:rsidRPr="00C35069">
              <w:rPr>
                <w:sz w:val="20"/>
                <w:szCs w:val="20"/>
              </w:rPr>
              <w:t/>
            </w:r>
          </w:p>
        </w:tc>
        <w:tc>
          <w:tcPr>
            <w:tcW w:w="1844" w:type="dxa"/>
            <w:vAlign w:val="center"/>
          </w:tcPr>
          <w:p w14:paraId="5A3BBDF6" w14:textId="19E6C641" w:rsidR="003061E9" w:rsidRPr="00C35069" w:rsidRDefault="00D70476" w:rsidP="003061E9">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rFonts w:cstheme="minorHAnsi"/>
                <w:sz w:val="20"/>
                <w:szCs w:val="20"/>
              </w:rPr>
              <w:t xml:space="preserve">Activating Mutation</w:t>
            </w:r>
          </w:p>
        </w:tc>
        <w:tc>
          <w:tcPr>
            <w:tcW w:w="1350" w:type="dxa"/>
            <w:vAlign w:val="center"/>
          </w:tcPr>
          <w:p w14:paraId="40F368E6" w14:textId="2318BFFD" w:rsidR="003061E9" w:rsidRPr="00C35069" w:rsidRDefault="00D70476" w:rsidP="003061E9">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bCs/>
                <w:iCs/>
                <w:sz w:val="20"/>
                <w:szCs w:val="20"/>
              </w:rPr>
              <w:t xml:space="preserve">Exon 15</w:t>
            </w:r>
          </w:p>
        </w:tc>
        <w:tc>
          <w:tcPr>
            <w:tcW w:w="1800" w:type="dxa"/>
            <w:vAlign w:val="center"/>
          </w:tcPr>
          <w:p w14:paraId="4B6532CE" w14:textId="50F1B8BE" w:rsidR="003061E9" w:rsidRPr="00C35069" w:rsidRDefault="00D70476" w:rsidP="003061E9">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833C0B"/>
              </w:rPr>
              <w:t xml:space="preserve">Oncogenic</w:t>
            </w:r>
            <w:r w:rsidR="00BA40B6">
              <w:rPr>
                <w:sz w:val="20"/>
                <w:szCs w:val="20"/>
              </w:rPr>
              <w:t/>
            </w:r>
            <w:r w:rsidRPr="00C35069">
              <w:rPr>
                <w:sz w:val="20"/>
                <w:szCs w:val="20"/>
              </w:rPr>
              <w:t/>
            </w:r>
          </w:p>
        </w:tc>
        <w:tc>
          <w:tcPr>
            <w:tcW w:w="2728" w:type="dxa"/>
            <w:vAlign w:val="center"/>
          </w:tcPr>
          <w:p w14:paraId="177F3D51" w14:textId="3D21BF11" w:rsidR="003061E9" w:rsidRPr="00C35069" w:rsidRDefault="00D70476" w:rsidP="003061E9">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70AD47"/>
              </w:rPr>
              <w:t xml:space="preserve">Drug Sensitivity Tier I - Level A</w:t>
            </w:r>
            <w:r>
              <w:br/>
            </w:r>
            <w:r>
              <w:rPr>
                <w:sz w:val="20"/>
                <w:szCs w:val="20"/>
                <w:color w:val="FFC000"/>
              </w:rPr>
              <w:t xml:space="preserve">Drug Resistance Tier II - Level C</w:t>
            </w:r>
          </w:p>
        </w:tc>
      </w:tr>
    </w:tbl>
    <w:p w14:paraId="7E315172" w14:textId="6233903C" w:rsidR="00BE7E03" w:rsidRPr="00102DF1" w:rsidRDefault="0063144D" w:rsidP="00BE7E03">
      <w:pPr>
        <w:rPr>
          <w:rFonts w:cstheme="minorHAnsi"/>
        </w:rPr>
      </w:pPr>
      <w:r>
        <w:rPr>
          <w:rFonts w:cstheme="minorHAnsi"/>
        </w:rPr>
        <w:t/>
      </w:r>
      <w:r w:rsidRPr="0063144D">
        <w:rPr>
          <w:rFonts w:cstheme="minorHAnsi"/>
        </w:rPr>
        <w:t/>
      </w:r>
      <w:r>
        <w:rPr>
          <w:rFonts w:cstheme="minorHAnsi"/>
        </w:rPr>
        <w:t/>
      </w:r>
    </w:p>
    <w:p w14:paraId="1EC808DC" w14:textId="5EC6CAF4" w:rsidR="00BE7E03" w:rsidRPr="00D7205E" w:rsidRDefault="00F67FF5" w:rsidP="00BE7E03">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Structural Variations</w:t>
      </w:r>
      <w:r w:rsidR="00BE7E03">
        <w:rPr>
          <w:rFonts w:cstheme="majorHAnsi"/>
          <w:b/>
          <w:smallCaps/>
          <w:color w:val="FFFFFF" w:themeColor="background1"/>
          <w:spacing w:val="10"/>
        </w:rPr>
        <w:t xml:space="preserve"> with </w:t>
      </w:r>
      <w:r>
        <w:rPr>
          <w:rFonts w:cstheme="majorHAnsi"/>
          <w:b/>
          <w:smallCaps/>
          <w:color w:val="FFFFFF" w:themeColor="background1"/>
          <w:spacing w:val="10"/>
        </w:rPr>
        <w:t xml:space="preserve">C</w:t>
      </w:r>
      <w:r w:rsidR="00BE7E03">
        <w:rPr>
          <w:rFonts w:cstheme="majorHAnsi"/>
          <w:b/>
          <w:smallCaps/>
          <w:color w:val="FFFFFF" w:themeColor="background1"/>
          <w:spacing w:val="10"/>
        </w:rPr>
        <w:t xml:space="preserve">linical </w:t>
      </w:r>
      <w:r>
        <w:rPr>
          <w:rFonts w:cstheme="majorHAnsi"/>
          <w:b/>
          <w:smallCaps/>
          <w:color w:val="FFFFFF" w:themeColor="background1"/>
          <w:spacing w:val="10"/>
        </w:rPr>
        <w:t xml:space="preserve">Evidence</w:t>
      </w:r>
    </w:p>
    <w:tbl>
      <w:tblPr>
        <w:tblStyle w:val="ListTable6Colorful-Accent3"/>
        <w:tblpPr w:leftFromText="180" w:rightFromText="180" w:vertAnchor="text" w:tblpX="126" w:tblpY="1"/>
        <w:tblOverlap w:val="never"/>
        <w:tblW w:w="10717" w:type="dxa"/>
        <w:tblLayout w:type="fixed"/>
        <w:tblLook w:val="04A0" w:firstRow="1" w:lastRow="0" w:firstColumn="1" w:lastColumn="0" w:noHBand="0" w:noVBand="1"/>
      </w:tblPr>
      <w:tblGrid>
        <w:gridCol w:w="1606"/>
        <w:gridCol w:w="1772"/>
        <w:gridCol w:w="1230"/>
        <w:gridCol w:w="1440"/>
        <w:gridCol w:w="1890"/>
        <w:gridCol w:w="2779"/>
      </w:tblGrid>
      <w:tr w:rsidR="003061E9" w14:paraId="19626478" w14:textId="07323FBE" w:rsidTr="007B06EA">
        <w:trPr>
          <w:cnfStyle w:val="100000000000" w:firstRow="1" w:lastRow="0" w:firstColumn="0" w:lastColumn="0" w:oddVBand="0" w:evenVBand="0" w:oddHBand="0" w:evenHBand="0" w:firstRowFirstColumn="0" w:firstRowLastColumn="0" w:lastRowFirstColumn="0" w:lastRowLastColumn="0"/>
          <w:cantSplit/>
          <w:trHeight w:val="365"/>
        </w:trPr>
        <w:tc>
          <w:tcPr>
            <w:cnfStyle w:val="001000000000" w:firstRow="0" w:lastRow="0" w:firstColumn="1" w:lastColumn="0" w:oddVBand="0" w:evenVBand="0" w:oddHBand="0" w:evenHBand="0" w:firstRowFirstColumn="0" w:firstRowLastColumn="0" w:lastRowFirstColumn="0" w:lastRowLastColumn="0"/>
            <w:tcW w:w="1606" w:type="dxa"/>
            <w:vAlign w:val="bottom"/>
          </w:tcPr>
          <w:p w14:paraId="643B0392" w14:textId="77777777" w:rsidR="003061E9" w:rsidRPr="00D7205E" w:rsidRDefault="003061E9" w:rsidP="00AF0082">
            <w:pPr>
              <w:rPr>
                <w:rFonts w:cstheme="minorHAnsi"/>
                <w:color w:val="0D0D0D" w:themeColor="text1" w:themeTint="F2"/>
                <w:sz w:val="20"/>
                <w:szCs w:val="20"/>
              </w:rPr>
            </w:pPr>
            <w:r>
              <w:rPr>
                <w:rFonts w:cstheme="minorHAnsi"/>
                <w:smallCaps/>
                <w:color w:val="0D0D0D" w:themeColor="text1" w:themeTint="F2"/>
              </w:rPr>
              <w:t xml:space="preserve">Primary Gene</w:t>
            </w:r>
          </w:p>
        </w:tc>
        <w:tc>
          <w:tcPr>
            <w:tcW w:w="1772" w:type="dxa"/>
            <w:vAlign w:val="bottom"/>
          </w:tcPr>
          <w:p w14:paraId="4704E9DB" w14:textId="774CDDA7" w:rsidR="003061E9" w:rsidRPr="00D7205E" w:rsidRDefault="005C72B5" w:rsidP="00AF0082">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Location</w:t>
            </w:r>
          </w:p>
        </w:tc>
        <w:tc>
          <w:tcPr>
            <w:tcW w:w="1230" w:type="dxa"/>
            <w:vAlign w:val="bottom"/>
          </w:tcPr>
          <w:p w14:paraId="228C4D07" w14:textId="147FE86C" w:rsidR="003061E9" w:rsidRPr="00D7205E" w:rsidRDefault="00E268FC" w:rsidP="00AF0082">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Reads</w:t>
            </w:r>
          </w:p>
        </w:tc>
        <w:tc>
          <w:tcPr>
            <w:tcW w:w="1440" w:type="dxa"/>
            <w:vAlign w:val="bottom"/>
          </w:tcPr>
          <w:p w14:paraId="7B73D08B" w14:textId="0F407267" w:rsidR="003061E9" w:rsidRPr="00D7205E" w:rsidRDefault="00E268FC" w:rsidP="00AF0082">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WT Reads</w:t>
            </w:r>
          </w:p>
        </w:tc>
        <w:tc>
          <w:tcPr>
            <w:tcW w:w="1890" w:type="dxa"/>
            <w:vAlign w:val="bottom"/>
          </w:tcPr>
          <w:p w14:paraId="25145DE2" w14:textId="73AE5E98" w:rsidR="003061E9" w:rsidRPr="00D7205E" w:rsidRDefault="005C72B5" w:rsidP="00AF0082">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State</w:t>
            </w:r>
          </w:p>
        </w:tc>
        <w:tc>
          <w:tcPr>
            <w:tcW w:w="2779" w:type="dxa"/>
            <w:vAlign w:val="bottom"/>
          </w:tcPr>
          <w:p w14:paraId="2AA4560A" w14:textId="5076F8F4" w:rsidR="003061E9" w:rsidRDefault="003061E9" w:rsidP="00AF0082">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Evidence</w:t>
            </w:r>
          </w:p>
        </w:tc>
      </w:tr>
      <w:tr w:rsidR="003061E9" w:rsidRPr="00DB7AB8" w14:paraId="08E9854B" w14:textId="5418043E" w:rsidTr="007B06EA">
        <w:trPr>
          <w:cnfStyle w:val="000000100000" w:firstRow="0" w:lastRow="0" w:firstColumn="0" w:lastColumn="0" w:oddVBand="0" w:evenVBand="0" w:oddHBand="1" w:evenHBand="0" w:firstRowFirstColumn="0" w:firstRowLastColumn="0" w:lastRowFirstColumn="0" w:lastRowLastColumn="0"/>
          <w:cantSplit/>
          <w:trHeight w:val="429"/>
        </w:trPr>
        <w:tc>
          <w:tcPr>
            <w:cnfStyle w:val="001000000000" w:firstRow="0" w:lastRow="0" w:firstColumn="1" w:lastColumn="0" w:oddVBand="0" w:evenVBand="0" w:oddHBand="0" w:evenHBand="0" w:firstRowFirstColumn="0" w:firstRowLastColumn="0" w:lastRowFirstColumn="0" w:lastRowLastColumn="0"/>
            <w:tcW w:w="1606" w:type="dxa"/>
            <w:vAlign w:val="center"/>
          </w:tcPr>
          <w:p w14:paraId="6EB5205D" w14:textId="7EF85341" w:rsidR="003061E9" w:rsidRPr="0006365E" w:rsidRDefault="00EC5AC8" w:rsidP="00AF0082">
            <w:pPr>
              <w:spacing w:line="276" w:lineRule="auto"/>
              <w:rPr>
                <w:b w:val="0"/>
                <w:bCs w:val="0"/>
                <w:iCs/>
                <w:color w:val="404040" w:themeColor="text1" w:themeTint="BF"/>
                <w:sz w:val="20"/>
                <w:szCs w:val="20"/>
              </w:rPr>
            </w:pPr>
            <w:r>
              <w:rPr>
                <w:i/>
                <w:iCs/>
                <w:color w:val="404040" w:themeColor="text1" w:themeTint="BF"/>
                <w:sz w:val="20"/>
                <w:szCs w:val="20"/>
              </w:rPr>
              <w:t/>
            </w:r>
            <w:r w:rsidRPr="00EC5AC8">
              <w:rPr>
                <w:i/>
                <w:iCs/>
                <w:color w:val="404040" w:themeColor="text1" w:themeTint="BF"/>
                <w:sz w:val="20"/>
                <w:szCs w:val="20"/>
              </w:rPr>
              <w:t/>
            </w:r>
            <w:r>
              <w:rPr>
                <w:i/>
                <w:iCs/>
                <w:color w:val="404040" w:themeColor="text1" w:themeTint="BF"/>
                <w:sz w:val="20"/>
                <w:szCs w:val="20"/>
              </w:rPr>
              <w:t xml:space="preserve">ABL1</w:t>
            </w:r>
          </w:p>
        </w:tc>
        <w:tc>
          <w:tcPr>
            <w:tcW w:w="1772" w:type="dxa"/>
            <w:vAlign w:val="center"/>
          </w:tcPr>
          <w:p w14:paraId="35A788A5" w14:textId="600A3CD1" w:rsidR="003061E9" w:rsidRPr="00C35069" w:rsidRDefault="00EC5AC8" w:rsidP="00AF0082">
            <w:pPr>
              <w:spacing w:line="276" w:lineRule="auto"/>
              <w:cnfStyle w:val="000000100000" w:firstRow="0" w:lastRow="0" w:firstColumn="0" w:lastColumn="0" w:oddVBand="0" w:evenVBand="0" w:oddHBand="1" w:evenHBand="0" w:firstRowFirstColumn="0" w:firstRowLastColumn="0" w:lastRowFirstColumn="0" w:lastRowLastColumn="0"/>
              <w:rPr>
                <w:i/>
                <w:iCs/>
                <w:sz w:val="20"/>
                <w:szCs w:val="20"/>
              </w:rPr>
            </w:pPr>
            <w:r w:rsidRPr="00C35069">
              <w:rPr>
                <w:sz w:val="20"/>
                <w:szCs w:val="20"/>
              </w:rPr>
              <w:t xml:space="preserve">BCR::ABL1</w:t>
            </w:r>
            <w:r w:rsidR="005C72B5">
              <w:rPr>
                <w:sz w:val="20"/>
                <w:szCs w:val="20"/>
              </w:rPr>
              <w:t/>
            </w:r>
            <w:r w:rsidRPr="00C35069">
              <w:rPr>
                <w:sz w:val="20"/>
                <w:szCs w:val="20"/>
              </w:rPr>
              <w:t/>
            </w:r>
          </w:p>
        </w:tc>
        <w:tc>
          <w:tcPr>
            <w:tcW w:w="1230" w:type="dxa"/>
            <w:vAlign w:val="center"/>
          </w:tcPr>
          <w:p w14:paraId="7731FB54" w14:textId="117D72A9" w:rsidR="003061E9" w:rsidRPr="00C35069" w:rsidRDefault="003C3A01" w:rsidP="00AF0082">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sz w:val="20"/>
                <w:szCs w:val="20"/>
              </w:rPr>
              <w:t xml:space="preserve">-</w:t>
            </w:r>
            <w:proofErr w:type="spellStart"/>
            <w:r w:rsidR="00E268FC">
              <w:rPr>
                <w:sz w:val="20"/>
                <w:szCs w:val="20"/>
              </w:rPr>
              <w:t/>
            </w:r>
            <w:proofErr w:type="spellEnd"/>
            <w:r w:rsidRPr="00C35069">
              <w:rPr>
                <w:sz w:val="20"/>
                <w:szCs w:val="20"/>
              </w:rPr>
              <w:t/>
            </w:r>
          </w:p>
        </w:tc>
        <w:tc>
          <w:tcPr>
            <w:tcW w:w="1440" w:type="dxa"/>
            <w:vAlign w:val="center"/>
          </w:tcPr>
          <w:p w14:paraId="5383BA1A" w14:textId="08FC5959" w:rsidR="003061E9" w:rsidRPr="00C35069" w:rsidRDefault="00EC5AC8" w:rsidP="00AF0082">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rFonts w:cstheme="minorHAnsi"/>
                <w:sz w:val="20"/>
                <w:szCs w:val="20"/>
              </w:rPr>
              <w:t xml:space="preserve">-</w:t>
            </w:r>
            <w:proofErr w:type="spellStart"/>
            <w:r w:rsidR="00E268FC">
              <w:rPr>
                <w:rFonts w:cstheme="minorHAnsi"/>
                <w:sz w:val="20"/>
                <w:szCs w:val="20"/>
              </w:rPr>
              <w:t/>
            </w:r>
            <w:proofErr w:type="spellEnd"/>
            <w:r w:rsidRPr="00C35069">
              <w:rPr>
                <w:rFonts w:cstheme="minorHAnsi"/>
                <w:sz w:val="20"/>
                <w:szCs w:val="20"/>
              </w:rPr>
              <w:t/>
            </w:r>
          </w:p>
        </w:tc>
        <w:tc>
          <w:tcPr>
            <w:tcW w:w="1890" w:type="dxa"/>
            <w:vAlign w:val="center"/>
          </w:tcPr>
          <w:p w14:paraId="7F87698F" w14:textId="01995181" w:rsidR="003061E9" w:rsidRPr="00C35069" w:rsidRDefault="00EC5AC8" w:rsidP="00AF0082">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sz w:val="20"/>
                <w:szCs w:val="20"/>
              </w:rPr>
              <w:t xml:space="preserve">Transcript fusion</w:t>
            </w:r>
            <w:r w:rsidR="005C72B5">
              <w:rPr>
                <w:sz w:val="20"/>
                <w:szCs w:val="20"/>
              </w:rPr>
              <w:t/>
            </w:r>
            <w:r w:rsidRPr="00C35069">
              <w:rPr>
                <w:sz w:val="20"/>
                <w:szCs w:val="20"/>
              </w:rPr>
              <w:t/>
            </w:r>
          </w:p>
        </w:tc>
        <w:tc>
          <w:tcPr>
            <w:tcW w:w="2779" w:type="dxa"/>
            <w:vAlign w:val="center"/>
          </w:tcPr>
          <w:p w14:paraId="07E01C57" w14:textId="2F6A373C" w:rsidR="003061E9" w:rsidRPr="00C35069" w:rsidRDefault="00EC5AC8" w:rsidP="00AF0082">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FFC000"/>
              </w:rPr>
              <w:t xml:space="preserve">Drug Sensitivity Tier II - Level C</w:t>
            </w:r>
          </w:p>
        </w:tc>
      </w:tr>
    </w:tbl>
    <w:p w14:paraId="18EDABAD" w14:textId="7A7C4440" w:rsidR="00A12884" w:rsidRDefault="0063144D" w:rsidP="00BF5412">
      <w:pPr>
        <w:rPr>
          <w:rFonts w:cstheme="minorHAnsi"/>
        </w:rPr>
      </w:pPr>
      <w:r>
        <w:rPr>
          <w:rFonts w:cstheme="minorHAnsi"/>
        </w:rPr>
        <w:t/>
      </w:r>
      <w:r w:rsidRPr="0063144D">
        <w:rPr>
          <w:rFonts w:cstheme="minorHAnsi"/>
        </w:rPr>
        <w:t/>
      </w:r>
      <w:r>
        <w:rPr>
          <w:rFonts w:cstheme="minorHAnsi"/>
        </w:rPr>
        <w:t/>
      </w:r>
    </w:p>
    <w:p w14:paraId="348F4170" w14:textId="241F623A" w:rsidR="00F67FF5" w:rsidRPr="00D7205E" w:rsidRDefault="00F67FF5" w:rsidP="00F67FF5">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Copy Number Variations with Clinical Evidence</w:t>
      </w:r>
    </w:p>
    <w:tbl>
      <w:tblPr>
        <w:tblStyle w:val="ListTable6Colorful-Accent3"/>
        <w:tblpPr w:leftFromText="180" w:rightFromText="180" w:vertAnchor="text" w:tblpX="126" w:tblpY="1"/>
        <w:tblOverlap w:val="never"/>
        <w:tblW w:w="10782" w:type="dxa"/>
        <w:tblLayout w:type="fixed"/>
        <w:tblLook w:val="04A0" w:firstRow="1" w:lastRow="0" w:firstColumn="1" w:lastColumn="0" w:noHBand="0" w:noVBand="1"/>
      </w:tblPr>
      <w:tblGrid>
        <w:gridCol w:w="1440"/>
        <w:gridCol w:w="1638"/>
        <w:gridCol w:w="1260"/>
        <w:gridCol w:w="2520"/>
        <w:gridCol w:w="1080"/>
        <w:gridCol w:w="2844"/>
      </w:tblGrid>
      <w:tr w:rsidR="003061E9" w14:paraId="25811B94" w14:textId="77777777" w:rsidTr="0031768C">
        <w:trPr>
          <w:cnfStyle w:val="100000000000" w:firstRow="1" w:lastRow="0" w:firstColumn="0" w:lastColumn="0" w:oddVBand="0" w:evenVBand="0" w:oddHBand="0" w:evenHBand="0" w:firstRowFirstColumn="0" w:firstRowLastColumn="0" w:lastRowFirstColumn="0" w:lastRowLastColumn="0"/>
          <w:cantSplit/>
          <w:trHeight w:val="391"/>
        </w:trPr>
        <w:tc>
          <w:tcPr>
            <w:cnfStyle w:val="001000000000" w:firstRow="0" w:lastRow="0" w:firstColumn="1" w:lastColumn="0" w:oddVBand="0" w:evenVBand="0" w:oddHBand="0" w:evenHBand="0" w:firstRowFirstColumn="0" w:firstRowLastColumn="0" w:lastRowFirstColumn="0" w:lastRowLastColumn="0"/>
            <w:tcW w:w="1440" w:type="dxa"/>
            <w:vAlign w:val="bottom"/>
          </w:tcPr>
          <w:p w14:paraId="6C315E73" w14:textId="77777777" w:rsidR="003061E9" w:rsidRPr="00D7205E" w:rsidRDefault="003061E9" w:rsidP="004F1DFA">
            <w:pPr>
              <w:rPr>
                <w:rFonts w:cstheme="minorHAnsi"/>
                <w:color w:val="0D0D0D" w:themeColor="text1" w:themeTint="F2"/>
                <w:sz w:val="20"/>
                <w:szCs w:val="20"/>
              </w:rPr>
            </w:pPr>
            <w:r>
              <w:rPr>
                <w:rFonts w:cstheme="minorHAnsi"/>
                <w:smallCaps/>
                <w:color w:val="0D0D0D" w:themeColor="text1" w:themeTint="F2"/>
              </w:rPr>
              <w:t xml:space="preserve">Primary </w:t>
            </w:r>
            <w:r w:rsidRPr="00D7205E">
              <w:rPr>
                <w:rFonts w:cstheme="minorHAnsi"/>
                <w:smallCaps/>
                <w:color w:val="0D0D0D" w:themeColor="text1" w:themeTint="F2"/>
              </w:rPr>
              <w:t xml:space="preserve">Gene</w:t>
            </w:r>
          </w:p>
        </w:tc>
        <w:tc>
          <w:tcPr>
            <w:tcW w:w="1638" w:type="dxa"/>
            <w:vAlign w:val="bottom"/>
          </w:tcPr>
          <w:p w14:paraId="3D0153D2" w14:textId="77777777" w:rsidR="003061E9" w:rsidRPr="00D7205E" w:rsidRDefault="003061E9" w:rsidP="004F1DFA">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Overlapping Genes</w:t>
            </w:r>
          </w:p>
        </w:tc>
        <w:tc>
          <w:tcPr>
            <w:tcW w:w="1260" w:type="dxa"/>
            <w:vAlign w:val="bottom"/>
          </w:tcPr>
          <w:p w14:paraId="76F96472" w14:textId="77777777" w:rsidR="003061E9" w:rsidRPr="00D7205E" w:rsidRDefault="003061E9" w:rsidP="004F1DFA">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State</w:t>
            </w:r>
          </w:p>
        </w:tc>
        <w:tc>
          <w:tcPr>
            <w:tcW w:w="2520" w:type="dxa"/>
            <w:vAlign w:val="bottom"/>
          </w:tcPr>
          <w:p w14:paraId="588F5C5A" w14:textId="77777777" w:rsidR="003061E9" w:rsidRPr="00D7205E" w:rsidRDefault="003061E9" w:rsidP="004F1DFA">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ISCN</w:t>
            </w:r>
          </w:p>
        </w:tc>
        <w:tc>
          <w:tcPr>
            <w:tcW w:w="1080" w:type="dxa"/>
            <w:vAlign w:val="bottom"/>
          </w:tcPr>
          <w:p w14:paraId="0ED6DB1D" w14:textId="77777777" w:rsidR="003061E9" w:rsidRPr="00D7205E" w:rsidRDefault="003061E9" w:rsidP="004F1DFA">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Impact</w:t>
            </w:r>
          </w:p>
        </w:tc>
        <w:tc>
          <w:tcPr>
            <w:tcW w:w="2844" w:type="dxa"/>
            <w:vAlign w:val="bottom"/>
          </w:tcPr>
          <w:p w14:paraId="63A0A905" w14:textId="56D57FFD" w:rsidR="003061E9" w:rsidRDefault="00363804" w:rsidP="004F1DFA">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Evidence</w:t>
            </w:r>
          </w:p>
        </w:tc>
      </w:tr>
      <w:tr w:rsidR="003061E9" w:rsidRPr="00DB7AB8" w14:paraId="25BDA582" w14:textId="77777777" w:rsidTr="0031768C">
        <w:trPr>
          <w:cnfStyle w:val="000000100000" w:firstRow="0" w:lastRow="0" w:firstColumn="0" w:lastColumn="0" w:oddVBand="0" w:evenVBand="0" w:oddHBand="1" w:evenHBand="0" w:firstRowFirstColumn="0" w:firstRowLastColumn="0" w:lastRowFirstColumn="0" w:lastRowLastColumn="0"/>
          <w:cantSplit/>
          <w:trHeight w:val="458"/>
        </w:trPr>
        <w:tc>
          <w:tcPr>
            <w:cnfStyle w:val="001000000000" w:firstRow="0" w:lastRow="0" w:firstColumn="1" w:lastColumn="0" w:oddVBand="0" w:evenVBand="0" w:oddHBand="0" w:evenHBand="0" w:firstRowFirstColumn="0" w:firstRowLastColumn="0" w:lastRowFirstColumn="0" w:lastRowLastColumn="0"/>
            <w:tcW w:w="1440" w:type="dxa"/>
            <w:vAlign w:val="center"/>
          </w:tcPr>
          <w:p w14:paraId="650BD2C8" w14:textId="7CE4B7A9" w:rsidR="003061E9" w:rsidRPr="00A7639C" w:rsidRDefault="00180B3B" w:rsidP="004F1DFA">
            <w:pPr>
              <w:spacing w:line="276" w:lineRule="auto"/>
              <w:rPr>
                <w:b w:val="0"/>
                <w:i/>
                <w:iCs/>
                <w:color w:val="404040" w:themeColor="text1" w:themeTint="BF"/>
                <w:sz w:val="20"/>
                <w:szCs w:val="20"/>
              </w:rPr>
            </w:pPr>
            <w:r>
              <w:rPr>
                <w:i/>
                <w:iCs/>
                <w:color w:val="404040" w:themeColor="text1" w:themeTint="BF"/>
                <w:sz w:val="20"/>
                <w:szCs w:val="20"/>
              </w:rPr>
              <w:t/>
            </w:r>
            <w:r w:rsidRPr="00180B3B">
              <w:rPr>
                <w:i/>
                <w:iCs/>
                <w:color w:val="404040" w:themeColor="text1" w:themeTint="BF"/>
                <w:sz w:val="20"/>
                <w:szCs w:val="20"/>
              </w:rPr>
              <w:t/>
            </w:r>
            <w:r>
              <w:rPr>
                <w:i/>
                <w:iCs/>
                <w:color w:val="404040" w:themeColor="text1" w:themeTint="BF"/>
                <w:sz w:val="20"/>
                <w:szCs w:val="20"/>
              </w:rPr>
              <w:t xml:space="preserve">PIK3CA</w:t>
            </w:r>
          </w:p>
        </w:tc>
        <w:tc>
          <w:tcPr>
            <w:tcW w:w="1638" w:type="dxa"/>
            <w:vAlign w:val="center"/>
          </w:tcPr>
          <w:p w14:paraId="11A23094" w14:textId="365011FC" w:rsidR="003061E9" w:rsidRPr="00C35069" w:rsidRDefault="007B598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sz w:val="20"/>
                <w:szCs w:val="20"/>
              </w:rPr>
              <w:t xml:space="preserve">PIK3CA, KCNMB3</w:t>
            </w:r>
          </w:p>
        </w:tc>
        <w:tc>
          <w:tcPr>
            <w:tcW w:w="1260" w:type="dxa"/>
            <w:vAlign w:val="center"/>
          </w:tcPr>
          <w:p w14:paraId="162E6327" w14:textId="6E1D81D1"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 xml:space="preserve">Duplication</w:t>
            </w:r>
            <w:r w:rsidR="00C35069" w:rsidRPr="00C35069">
              <w:rPr>
                <w:rFonts w:cstheme="minorHAnsi"/>
                <w:sz w:val="20"/>
                <w:szCs w:val="20"/>
              </w:rPr>
              <w:t/>
            </w:r>
            <w:r w:rsidR="00324D91" w:rsidRPr="00C35069">
              <w:rPr>
                <w:rFonts w:cstheme="minorHAnsi"/>
                <w:sz w:val="20"/>
                <w:szCs w:val="20"/>
              </w:rPr>
              <w:t/>
            </w:r>
            <w:r w:rsidRPr="00C35069">
              <w:rPr>
                <w:rFonts w:cstheme="minorHAnsi"/>
                <w:sz w:val="20"/>
                <w:szCs w:val="20"/>
              </w:rPr>
              <w:t/>
            </w:r>
          </w:p>
        </w:tc>
        <w:tc>
          <w:tcPr>
            <w:tcW w:w="2520" w:type="dxa"/>
            <w:vAlign w:val="center"/>
          </w:tcPr>
          <w:p w14:paraId="0C9E8A4A" w14:textId="7D0A320C"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rFonts w:cstheme="minorHAnsi"/>
                <w:sz w:val="20"/>
                <w:szCs w:val="20"/>
              </w:rPr>
              <w:t xml:space="preserve">3q26.32 (3:178866145-178957881)x3</w:t>
            </w:r>
            <w:proofErr w:type="spellStart"/>
            <w:r w:rsidRPr="00C35069">
              <w:rPr>
                <w:rFonts w:cstheme="minorHAnsi"/>
                <w:sz w:val="20"/>
                <w:szCs w:val="20"/>
              </w:rPr>
              <w:t/>
            </w:r>
            <w:proofErr w:type="spellEnd"/>
            <w:r w:rsidRPr="00C35069">
              <w:rPr>
                <w:rFonts w:cstheme="minorHAnsi"/>
                <w:sz w:val="20"/>
                <w:szCs w:val="20"/>
              </w:rPr>
              <w:t/>
            </w:r>
          </w:p>
        </w:tc>
        <w:tc>
          <w:tcPr>
            <w:tcW w:w="1080" w:type="dxa"/>
            <w:vAlign w:val="center"/>
          </w:tcPr>
          <w:p w14:paraId="392BF86C" w14:textId="0B2EF1C5"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rFonts w:cstheme="minorHAnsi"/>
                <w:sz w:val="20"/>
                <w:szCs w:val="20"/>
              </w:rPr>
              <w:t xml:space="preserve">Activating Mutation</w:t>
            </w:r>
          </w:p>
        </w:tc>
        <w:tc>
          <w:tcPr>
            <w:tcW w:w="2844" w:type="dxa"/>
            <w:vAlign w:val="center"/>
          </w:tcPr>
          <w:p w14:paraId="66E62245" w14:textId="028C18DA"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FFC000"/>
              </w:rPr>
              <w:t xml:space="preserve">Drug Sensitivity Tier II - Level C</w:t>
            </w:r>
            <w:r w:rsidR="00224215">
              <w:rPr>
                <w:sz w:val="20"/>
                <w:szCs w:val="20"/>
              </w:rPr>
              <w:t/>
            </w:r>
            <w:r w:rsidRPr="00C35069">
              <w:rPr>
                <w:sz w:val="20"/>
                <w:szCs w:val="20"/>
              </w:rPr>
              <w:t/>
            </w:r>
          </w:p>
        </w:tc>
      </w:tr>
      <w:tr w:rsidR="003061E9" w:rsidRPr="00DB7AB8" w14:paraId="25BDA582" w14:textId="77777777" w:rsidTr="0031768C">
        <w:trPr>
          <w:cnfStyle w:val="000000100000" w:firstRow="0" w:lastRow="0" w:firstColumn="0" w:lastColumn="0" w:oddVBand="0" w:evenVBand="0" w:oddHBand="1" w:evenHBand="0" w:firstRowFirstColumn="0" w:firstRowLastColumn="0" w:lastRowFirstColumn="0" w:lastRowLastColumn="0"/>
          <w:cantSplit/>
          <w:trHeight w:val="458"/>
        </w:trPr>
        <w:tc>
          <w:tcPr>
            <w:cnfStyle w:val="001000000000" w:firstRow="0" w:lastRow="0" w:firstColumn="1" w:lastColumn="0" w:oddVBand="0" w:evenVBand="0" w:oddHBand="0" w:evenHBand="0" w:firstRowFirstColumn="0" w:firstRowLastColumn="0" w:lastRowFirstColumn="0" w:lastRowLastColumn="0"/>
            <w:tcW w:w="1440" w:type="dxa"/>
            <w:vAlign w:val="center"/>
          </w:tcPr>
          <w:p w14:paraId="650BD2C8" w14:textId="7CE4B7A9" w:rsidR="003061E9" w:rsidRPr="00A7639C" w:rsidRDefault="00180B3B" w:rsidP="004F1DFA">
            <w:pPr>
              <w:spacing w:line="276" w:lineRule="auto"/>
              <w:rPr>
                <w:b w:val="0"/>
                <w:i/>
                <w:iCs/>
                <w:color w:val="404040" w:themeColor="text1" w:themeTint="BF"/>
                <w:sz w:val="20"/>
                <w:szCs w:val="20"/>
              </w:rPr>
            </w:pPr>
            <w:r>
              <w:rPr>
                <w:i/>
                <w:iCs/>
                <w:color w:val="404040" w:themeColor="text1" w:themeTint="BF"/>
                <w:sz w:val="20"/>
                <w:szCs w:val="20"/>
              </w:rPr>
              <w:t/>
            </w:r>
            <w:r w:rsidRPr="00180B3B">
              <w:rPr>
                <w:i/>
                <w:iCs/>
                <w:color w:val="404040" w:themeColor="text1" w:themeTint="BF"/>
                <w:sz w:val="20"/>
                <w:szCs w:val="20"/>
              </w:rPr>
              <w:t/>
            </w:r>
            <w:r>
              <w:rPr>
                <w:i/>
                <w:iCs/>
                <w:color w:val="404040" w:themeColor="text1" w:themeTint="BF"/>
                <w:sz w:val="20"/>
                <w:szCs w:val="20"/>
              </w:rPr>
              <w:t xml:space="preserve">ERBB2</w:t>
            </w:r>
          </w:p>
        </w:tc>
        <w:tc>
          <w:tcPr>
            <w:tcW w:w="1638" w:type="dxa"/>
            <w:vAlign w:val="center"/>
          </w:tcPr>
          <w:p w14:paraId="11A23094" w14:textId="365011FC" w:rsidR="003061E9" w:rsidRPr="00C35069" w:rsidRDefault="007B598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sz w:val="20"/>
                <w:szCs w:val="20"/>
              </w:rPr>
              <w:t xml:space="preserve">ERBB2, MIR4728, MIEN1</w:t>
            </w:r>
          </w:p>
        </w:tc>
        <w:tc>
          <w:tcPr>
            <w:tcW w:w="1260" w:type="dxa"/>
            <w:vAlign w:val="center"/>
          </w:tcPr>
          <w:p w14:paraId="162E6327" w14:textId="6E1D81D1"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 xml:space="preserve">Duplication</w:t>
            </w:r>
            <w:r w:rsidR="00C35069" w:rsidRPr="00C35069">
              <w:rPr>
                <w:rFonts w:cstheme="minorHAnsi"/>
                <w:sz w:val="20"/>
                <w:szCs w:val="20"/>
              </w:rPr>
              <w:t/>
            </w:r>
            <w:r w:rsidR="00324D91" w:rsidRPr="00C35069">
              <w:rPr>
                <w:rFonts w:cstheme="minorHAnsi"/>
                <w:sz w:val="20"/>
                <w:szCs w:val="20"/>
              </w:rPr>
              <w:t/>
            </w:r>
            <w:r w:rsidRPr="00C35069">
              <w:rPr>
                <w:rFonts w:cstheme="minorHAnsi"/>
                <w:sz w:val="20"/>
                <w:szCs w:val="20"/>
              </w:rPr>
              <w:t/>
            </w:r>
          </w:p>
        </w:tc>
        <w:tc>
          <w:tcPr>
            <w:tcW w:w="2520" w:type="dxa"/>
            <w:vAlign w:val="center"/>
          </w:tcPr>
          <w:p w14:paraId="0C9E8A4A" w14:textId="7D0A320C"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rFonts w:cstheme="minorHAnsi"/>
                <w:sz w:val="20"/>
                <w:szCs w:val="20"/>
              </w:rPr>
              <w:t xml:space="preserve">17q12 (17:37856317-37884911)x0</w:t>
            </w:r>
            <w:proofErr w:type="spellStart"/>
            <w:r w:rsidRPr="00C35069">
              <w:rPr>
                <w:rFonts w:cstheme="minorHAnsi"/>
                <w:sz w:val="20"/>
                <w:szCs w:val="20"/>
              </w:rPr>
              <w:t/>
            </w:r>
            <w:proofErr w:type="spellEnd"/>
            <w:r w:rsidRPr="00C35069">
              <w:rPr>
                <w:rFonts w:cstheme="minorHAnsi"/>
                <w:sz w:val="20"/>
                <w:szCs w:val="20"/>
              </w:rPr>
              <w:t/>
            </w:r>
          </w:p>
        </w:tc>
        <w:tc>
          <w:tcPr>
            <w:tcW w:w="1080" w:type="dxa"/>
            <w:vAlign w:val="center"/>
          </w:tcPr>
          <w:p w14:paraId="392BF86C" w14:textId="0B2EF1C5"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C35069">
              <w:rPr>
                <w:rFonts w:cstheme="minorHAnsi"/>
                <w:sz w:val="20"/>
                <w:szCs w:val="20"/>
              </w:rPr>
              <w:t xml:space="preserve">Activating Mutation</w:t>
            </w:r>
          </w:p>
        </w:tc>
        <w:tc>
          <w:tcPr>
            <w:tcW w:w="2844" w:type="dxa"/>
            <w:vAlign w:val="center"/>
          </w:tcPr>
          <w:p w14:paraId="66E62245" w14:textId="028C18DA" w:rsidR="003061E9" w:rsidRPr="00C35069" w:rsidRDefault="004E18A0" w:rsidP="004F1DFA">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70AD47"/>
              </w:rPr>
              <w:t xml:space="preserve">Drug Sensitivity Tier I - Level A</w:t>
            </w:r>
            <w:r>
              <w:br/>
            </w:r>
            <w:r>
              <w:rPr>
                <w:sz w:val="20"/>
                <w:szCs w:val="20"/>
                <w:color w:val="70AD47"/>
              </w:rPr>
              <w:t xml:space="preserve">Drug Resistance Tier I - Level A</w:t>
            </w:r>
            <w:r w:rsidR="00224215">
              <w:rPr>
                <w:sz w:val="20"/>
                <w:szCs w:val="20"/>
              </w:rPr>
              <w:t/>
            </w:r>
            <w:r w:rsidRPr="00C35069">
              <w:rPr>
                <w:sz w:val="20"/>
                <w:szCs w:val="20"/>
              </w:rPr>
              <w:t/>
            </w:r>
          </w:p>
        </w:tc>
      </w:tr>
    </w:tbl>
    <w:p w14:paraId="1AF4989B" w14:textId="0BA737C7" w:rsidR="00F67FF5" w:rsidRDefault="0063144D" w:rsidP="00BF5412">
      <w:pPr>
        <w:rPr>
          <w:rFonts w:cstheme="minorHAnsi"/>
        </w:rPr>
      </w:pPr>
      <w:r>
        <w:rPr>
          <w:rFonts w:cstheme="minorHAnsi"/>
        </w:rPr>
        <w:t/>
      </w:r>
      <w:r w:rsidRPr="0063144D">
        <w:rPr>
          <w:rFonts w:cstheme="minorHAnsi"/>
        </w:rPr>
        <w:t/>
      </w:r>
      <w:r>
        <w:rPr>
          <w:rFonts w:cstheme="minorHAnsi"/>
        </w:rPr>
        <w:t/>
      </w:r>
    </w:p>
    <w:p w14:paraId="15472DF8" w14:textId="62800BDC" w:rsidR="00F67FF5" w:rsidRPr="00D7205E" w:rsidRDefault="00F67FF5" w:rsidP="00F67FF5">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Genomic Signatures with Clinical Evidence</w:t>
      </w:r>
    </w:p>
    <w:tbl>
      <w:tblPr>
        <w:tblStyle w:val="ListTable6Colorful-Accent3"/>
        <w:tblpPr w:leftFromText="180" w:rightFromText="180" w:vertAnchor="text" w:tblpX="126" w:tblpY="1"/>
        <w:tblOverlap w:val="never"/>
        <w:tblW w:w="10728" w:type="dxa"/>
        <w:tblLayout w:type="fixed"/>
        <w:tblLook w:val="04A0" w:firstRow="1" w:lastRow="0" w:firstColumn="1" w:lastColumn="0" w:noHBand="0" w:noVBand="1"/>
      </w:tblPr>
      <w:tblGrid>
        <w:gridCol w:w="1818"/>
        <w:gridCol w:w="1350"/>
        <w:gridCol w:w="2160"/>
        <w:gridCol w:w="1282"/>
        <w:gridCol w:w="4118"/>
      </w:tblGrid>
      <w:tr w:rsidR="00C4397D" w:rsidRPr="00D7205E" w14:paraId="78C993B1" w14:textId="53173FF8" w:rsidTr="00C4397D">
        <w:trPr>
          <w:cnfStyle w:val="100000000000" w:firstRow="1" w:lastRow="0" w:firstColumn="0" w:lastColumn="0" w:oddVBand="0" w:evenVBand="0" w:oddHBand="0" w:evenHBand="0" w:firstRowFirstColumn="0" w:firstRowLastColumn="0" w:lastRowFirstColumn="0" w:lastRowLastColumn="0"/>
          <w:cantSplit/>
          <w:trHeight w:val="401"/>
        </w:trPr>
        <w:tc>
          <w:tcPr>
            <w:cnfStyle w:val="001000000000" w:firstRow="0" w:lastRow="0" w:firstColumn="1" w:lastColumn="0" w:oddVBand="0" w:evenVBand="0" w:oddHBand="0" w:evenHBand="0" w:firstRowFirstColumn="0" w:firstRowLastColumn="0" w:lastRowFirstColumn="0" w:lastRowLastColumn="0"/>
            <w:tcW w:w="1818" w:type="dxa"/>
            <w:vAlign w:val="bottom"/>
          </w:tcPr>
          <w:p w14:paraId="1CCD7FC3" w14:textId="77777777" w:rsidR="00C4397D" w:rsidRPr="00D7205E" w:rsidRDefault="00C4397D" w:rsidP="005250F5">
            <w:pPr>
              <w:rPr>
                <w:rFonts w:cstheme="minorHAnsi"/>
                <w:color w:val="0D0D0D" w:themeColor="text1" w:themeTint="F2"/>
                <w:sz w:val="20"/>
                <w:szCs w:val="20"/>
              </w:rPr>
            </w:pPr>
            <w:r>
              <w:rPr>
                <w:rFonts w:cstheme="minorHAnsi"/>
                <w:smallCaps/>
                <w:color w:val="0D0D0D" w:themeColor="text1" w:themeTint="F2"/>
              </w:rPr>
              <w:t xml:space="preserve">Genomic Finding</w:t>
            </w:r>
          </w:p>
        </w:tc>
        <w:tc>
          <w:tcPr>
            <w:tcW w:w="1350" w:type="dxa"/>
            <w:vAlign w:val="bottom"/>
          </w:tcPr>
          <w:p w14:paraId="47F30289" w14:textId="77777777" w:rsidR="00C4397D" w:rsidRPr="00D7205E" w:rsidRDefault="00C4397D" w:rsidP="005250F5">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State</w:t>
            </w:r>
          </w:p>
        </w:tc>
        <w:tc>
          <w:tcPr>
            <w:tcW w:w="2160" w:type="dxa"/>
            <w:vAlign w:val="bottom"/>
          </w:tcPr>
          <w:p w14:paraId="50B529C5" w14:textId="77777777" w:rsidR="00C4397D" w:rsidRPr="00D7205E" w:rsidRDefault="00C4397D" w:rsidP="005250F5">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Location</w:t>
            </w:r>
          </w:p>
        </w:tc>
        <w:tc>
          <w:tcPr>
            <w:tcW w:w="1282" w:type="dxa"/>
            <w:vAlign w:val="bottom"/>
          </w:tcPr>
          <w:p w14:paraId="511048E7" w14:textId="77777777" w:rsidR="00C4397D" w:rsidRPr="00D7205E" w:rsidRDefault="00C4397D" w:rsidP="005250F5">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Impact</w:t>
            </w:r>
          </w:p>
        </w:tc>
        <w:tc>
          <w:tcPr>
            <w:tcW w:w="4118" w:type="dxa"/>
            <w:vAlign w:val="bottom"/>
          </w:tcPr>
          <w:p w14:paraId="3DFDF8FE" w14:textId="000EA877" w:rsidR="00C4397D" w:rsidRDefault="00C4397D" w:rsidP="005250F5">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Evidence</w:t>
            </w:r>
          </w:p>
        </w:tc>
      </w:tr>
      <w:tr w:rsidR="00C4397D" w:rsidRPr="005D7FE8" w14:paraId="7FAF40B0" w14:textId="5345F154" w:rsidTr="00C4397D">
        <w:trPr>
          <w:cnfStyle w:val="000000100000" w:firstRow="0" w:lastRow="0" w:firstColumn="0" w:lastColumn="0" w:oddVBand="0" w:evenVBand="0" w:oddHBand="1" w:evenHBand="0" w:firstRowFirstColumn="0" w:firstRowLastColumn="0" w:lastRowFirstColumn="0" w:lastRowLastColumn="0"/>
          <w:cantSplit/>
          <w:trHeight w:val="470"/>
        </w:trPr>
        <w:tc>
          <w:tcPr>
            <w:cnfStyle w:val="001000000000" w:firstRow="0" w:lastRow="0" w:firstColumn="1" w:lastColumn="0" w:oddVBand="0" w:evenVBand="0" w:oddHBand="0" w:evenHBand="0" w:firstRowFirstColumn="0" w:firstRowLastColumn="0" w:lastRowFirstColumn="0" w:lastRowLastColumn="0"/>
            <w:tcW w:w="1818" w:type="dxa"/>
            <w:vAlign w:val="center"/>
          </w:tcPr>
          <w:p w14:paraId="6833DBF8" w14:textId="771447FC" w:rsidR="00C4397D" w:rsidRPr="00AE245C" w:rsidRDefault="00C4397D" w:rsidP="005250F5">
            <w:pPr>
              <w:spacing w:line="276" w:lineRule="auto"/>
              <w:rPr>
                <w:b w:val="0"/>
                <w:bCs w:val="0"/>
                <w:color w:val="404040" w:themeColor="text1" w:themeTint="BF"/>
                <w:sz w:val="20"/>
                <w:szCs w:val="20"/>
              </w:rPr>
            </w:pPr>
            <w:r>
              <w:rPr>
                <w:color w:val="404040" w:themeColor="text1" w:themeTint="BF"/>
                <w:sz w:val="20"/>
                <w:szCs w:val="20"/>
              </w:rPr>
              <w:t/>
            </w:r>
            <w:r w:rsidR="00072A3D">
              <w:rPr>
                <w:color w:val="404040" w:themeColor="text1" w:themeTint="BF"/>
                <w:sz w:val="20"/>
                <w:szCs w:val="20"/>
              </w:rPr>
              <w:t/>
            </w:r>
            <w:r>
              <w:rPr>
                <w:color w:val="404040" w:themeColor="text1" w:themeTint="BF"/>
                <w:sz w:val="20"/>
                <w:szCs w:val="20"/>
              </w:rPr>
              <w:t/>
            </w:r>
            <w:r w:rsidRPr="00C4397D">
              <w:rPr>
                <w:color w:val="404040" w:themeColor="text1" w:themeTint="BF"/>
                <w:sz w:val="20"/>
                <w:szCs w:val="20"/>
              </w:rPr>
              <w:t/>
            </w:r>
            <w:r>
              <w:rPr>
                <w:color w:val="404040" w:themeColor="text1" w:themeTint="BF"/>
                <w:sz w:val="20"/>
                <w:szCs w:val="20"/>
              </w:rPr>
              <w:t xml:space="preserve">TMB High</w:t>
            </w:r>
          </w:p>
        </w:tc>
        <w:tc>
          <w:tcPr>
            <w:tcW w:w="1350" w:type="dxa"/>
            <w:vAlign w:val="center"/>
          </w:tcPr>
          <w:p w14:paraId="68D7599D" w14:textId="339BB80E"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sz w:val="20"/>
                <w:szCs w:val="20"/>
              </w:rPr>
              <w:t xml:space="preserve">12.5 mut/Mb</w:t>
            </w:r>
          </w:p>
        </w:tc>
        <w:tc>
          <w:tcPr>
            <w:tcW w:w="2160" w:type="dxa"/>
            <w:vAlign w:val="center"/>
          </w:tcPr>
          <w:p w14:paraId="2895C191" w14:textId="77777777"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rFonts w:cstheme="minorHAnsi"/>
                <w:sz w:val="20"/>
                <w:szCs w:val="20"/>
              </w:rPr>
              <w:t xml:space="preserve">Genomic Signature</w:t>
            </w:r>
          </w:p>
        </w:tc>
        <w:tc>
          <w:tcPr>
            <w:tcW w:w="1282" w:type="dxa"/>
            <w:vAlign w:val="center"/>
          </w:tcPr>
          <w:p w14:paraId="142F8FE0" w14:textId="2470D017"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sz w:val="20"/>
                <w:szCs w:val="20"/>
              </w:rPr>
              <w:t xml:space="preserve">Unknown</w:t>
            </w:r>
          </w:p>
        </w:tc>
        <w:tc>
          <w:tcPr>
            <w:tcW w:w="4118" w:type="dxa"/>
            <w:vAlign w:val="center"/>
          </w:tcPr>
          <w:p w14:paraId="3D48012D" w14:textId="796ADF6E"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70AD47"/>
              </w:rPr>
              <w:t xml:space="preserve">Drug Sensitivity Tier I - Level A</w:t>
            </w:r>
          </w:p>
        </w:tc>
      </w:tr>
      <w:tr w:rsidR="00C4397D" w:rsidRPr="005D7FE8" w14:paraId="7FAF40B0" w14:textId="5345F154" w:rsidTr="00C4397D">
        <w:trPr>
          <w:cnfStyle w:val="000000100000" w:firstRow="0" w:lastRow="0" w:firstColumn="0" w:lastColumn="0" w:oddVBand="0" w:evenVBand="0" w:oddHBand="1" w:evenHBand="0" w:firstRowFirstColumn="0" w:firstRowLastColumn="0" w:lastRowFirstColumn="0" w:lastRowLastColumn="0"/>
          <w:cantSplit/>
          <w:trHeight w:val="470"/>
        </w:trPr>
        <w:tc>
          <w:tcPr>
            <w:cnfStyle w:val="001000000000" w:firstRow="0" w:lastRow="0" w:firstColumn="1" w:lastColumn="0" w:oddVBand="0" w:evenVBand="0" w:oddHBand="0" w:evenHBand="0" w:firstRowFirstColumn="0" w:firstRowLastColumn="0" w:lastRowFirstColumn="0" w:lastRowLastColumn="0"/>
            <w:tcW w:w="1818" w:type="dxa"/>
            <w:vAlign w:val="center"/>
          </w:tcPr>
          <w:p w14:paraId="6833DBF8" w14:textId="771447FC" w:rsidR="00C4397D" w:rsidRPr="00AE245C" w:rsidRDefault="00C4397D" w:rsidP="005250F5">
            <w:pPr>
              <w:spacing w:line="276" w:lineRule="auto"/>
              <w:rPr>
                <w:b w:val="0"/>
                <w:bCs w:val="0"/>
                <w:color w:val="404040" w:themeColor="text1" w:themeTint="BF"/>
                <w:sz w:val="20"/>
                <w:szCs w:val="20"/>
              </w:rPr>
            </w:pPr>
            <w:r>
              <w:rPr>
                <w:color w:val="404040" w:themeColor="text1" w:themeTint="BF"/>
                <w:sz w:val="20"/>
                <w:szCs w:val="20"/>
              </w:rPr>
              <w:t/>
            </w:r>
            <w:r w:rsidR="00072A3D">
              <w:rPr>
                <w:color w:val="404040" w:themeColor="text1" w:themeTint="BF"/>
                <w:sz w:val="20"/>
                <w:szCs w:val="20"/>
              </w:rPr>
              <w:t/>
            </w:r>
            <w:r>
              <w:rPr>
                <w:color w:val="404040" w:themeColor="text1" w:themeTint="BF"/>
                <w:sz w:val="20"/>
                <w:szCs w:val="20"/>
              </w:rPr>
              <w:t/>
            </w:r>
            <w:r w:rsidRPr="00C4397D">
              <w:rPr>
                <w:color w:val="404040" w:themeColor="text1" w:themeTint="BF"/>
                <w:sz w:val="20"/>
                <w:szCs w:val="20"/>
              </w:rPr>
              <w:t/>
            </w:r>
            <w:r>
              <w:rPr>
                <w:color w:val="404040" w:themeColor="text1" w:themeTint="BF"/>
                <w:sz w:val="20"/>
                <w:szCs w:val="20"/>
              </w:rPr>
              <w:t xml:space="preserve">MSI High</w:t>
            </w:r>
          </w:p>
        </w:tc>
        <w:tc>
          <w:tcPr>
            <w:tcW w:w="1350" w:type="dxa"/>
            <w:vAlign w:val="center"/>
          </w:tcPr>
          <w:p w14:paraId="68D7599D" w14:textId="339BB80E"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sz w:val="20"/>
                <w:szCs w:val="20"/>
              </w:rPr>
              <w:t xml:space="preserve">35.9 % unstable MSI loci</w:t>
            </w:r>
          </w:p>
        </w:tc>
        <w:tc>
          <w:tcPr>
            <w:tcW w:w="2160" w:type="dxa"/>
            <w:vAlign w:val="center"/>
          </w:tcPr>
          <w:p w14:paraId="2895C191" w14:textId="77777777"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rFonts w:cstheme="minorHAnsi"/>
                <w:sz w:val="20"/>
                <w:szCs w:val="20"/>
              </w:rPr>
              <w:t xml:space="preserve">Genomic Signature</w:t>
            </w:r>
          </w:p>
        </w:tc>
        <w:tc>
          <w:tcPr>
            <w:tcW w:w="1282" w:type="dxa"/>
            <w:vAlign w:val="center"/>
          </w:tcPr>
          <w:p w14:paraId="142F8FE0" w14:textId="2470D017"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sz w:val="20"/>
                <w:szCs w:val="20"/>
              </w:rPr>
              <w:t xml:space="preserve">Unknown</w:t>
            </w:r>
          </w:p>
        </w:tc>
        <w:tc>
          <w:tcPr>
            <w:tcW w:w="4118" w:type="dxa"/>
            <w:vAlign w:val="center"/>
          </w:tcPr>
          <w:p w14:paraId="3D48012D" w14:textId="796ADF6E"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70AD47"/>
              </w:rPr>
              <w:t xml:space="preserve">Drug Sensitivity Tier I - Level A</w:t>
            </w:r>
          </w:p>
        </w:tc>
      </w:tr>
      <w:tr w:rsidR="00C4397D" w:rsidRPr="005D7FE8" w14:paraId="7FAF40B0" w14:textId="5345F154" w:rsidTr="00C4397D">
        <w:trPr>
          <w:cnfStyle w:val="000000100000" w:firstRow="0" w:lastRow="0" w:firstColumn="0" w:lastColumn="0" w:oddVBand="0" w:evenVBand="0" w:oddHBand="1" w:evenHBand="0" w:firstRowFirstColumn="0" w:firstRowLastColumn="0" w:lastRowFirstColumn="0" w:lastRowLastColumn="0"/>
          <w:cantSplit/>
          <w:trHeight w:val="470"/>
        </w:trPr>
        <w:tc>
          <w:tcPr>
            <w:cnfStyle w:val="001000000000" w:firstRow="0" w:lastRow="0" w:firstColumn="1" w:lastColumn="0" w:oddVBand="0" w:evenVBand="0" w:oddHBand="0" w:evenHBand="0" w:firstRowFirstColumn="0" w:firstRowLastColumn="0" w:lastRowFirstColumn="0" w:lastRowLastColumn="0"/>
            <w:tcW w:w="1818" w:type="dxa"/>
            <w:vAlign w:val="center"/>
          </w:tcPr>
          <w:p w14:paraId="6833DBF8" w14:textId="771447FC" w:rsidR="00C4397D" w:rsidRPr="00AE245C" w:rsidRDefault="00C4397D" w:rsidP="005250F5">
            <w:pPr>
              <w:spacing w:line="276" w:lineRule="auto"/>
              <w:rPr>
                <w:b w:val="0"/>
                <w:bCs w:val="0"/>
                <w:color w:val="404040" w:themeColor="text1" w:themeTint="BF"/>
                <w:sz w:val="20"/>
                <w:szCs w:val="20"/>
              </w:rPr>
            </w:pPr>
            <w:r>
              <w:rPr>
                <w:color w:val="404040" w:themeColor="text1" w:themeTint="BF"/>
                <w:sz w:val="20"/>
                <w:szCs w:val="20"/>
              </w:rPr>
              <w:t/>
            </w:r>
            <w:r w:rsidR="00072A3D">
              <w:rPr>
                <w:color w:val="404040" w:themeColor="text1" w:themeTint="BF"/>
                <w:sz w:val="20"/>
                <w:szCs w:val="20"/>
              </w:rPr>
              <w:t/>
            </w:r>
            <w:r>
              <w:rPr>
                <w:color w:val="404040" w:themeColor="text1" w:themeTint="BF"/>
                <w:sz w:val="20"/>
                <w:szCs w:val="20"/>
              </w:rPr>
              <w:t/>
            </w:r>
            <w:r w:rsidRPr="00C4397D">
              <w:rPr>
                <w:color w:val="404040" w:themeColor="text1" w:themeTint="BF"/>
                <w:sz w:val="20"/>
                <w:szCs w:val="20"/>
              </w:rPr>
              <w:t/>
            </w:r>
            <w:r>
              <w:rPr>
                <w:color w:val="404040" w:themeColor="text1" w:themeTint="BF"/>
                <w:sz w:val="20"/>
                <w:szCs w:val="20"/>
              </w:rPr>
              <w:t xml:space="preserve">HRD Positive</w:t>
            </w:r>
          </w:p>
        </w:tc>
        <w:tc>
          <w:tcPr>
            <w:tcW w:w="1350" w:type="dxa"/>
            <w:vAlign w:val="center"/>
          </w:tcPr>
          <w:p w14:paraId="68D7599D" w14:textId="339BB80E"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sz w:val="20"/>
                <w:szCs w:val="20"/>
              </w:rPr>
              <w:t xml:space="preserve">43 Genomic Instability Score</w:t>
            </w:r>
          </w:p>
        </w:tc>
        <w:tc>
          <w:tcPr>
            <w:tcW w:w="2160" w:type="dxa"/>
            <w:vAlign w:val="center"/>
          </w:tcPr>
          <w:p w14:paraId="2895C191" w14:textId="77777777"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rFonts w:cstheme="minorHAnsi"/>
                <w:sz w:val="20"/>
                <w:szCs w:val="20"/>
              </w:rPr>
              <w:t xml:space="preserve">Genomic Signature</w:t>
            </w:r>
          </w:p>
        </w:tc>
        <w:tc>
          <w:tcPr>
            <w:tcW w:w="1282" w:type="dxa"/>
            <w:vAlign w:val="center"/>
          </w:tcPr>
          <w:p w14:paraId="142F8FE0" w14:textId="2470D017"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sidRPr="00775336">
              <w:rPr>
                <w:sz w:val="20"/>
                <w:szCs w:val="20"/>
              </w:rPr>
              <w:t xml:space="preserve">Unknown</w:t>
            </w:r>
          </w:p>
        </w:tc>
        <w:tc>
          <w:tcPr>
            <w:tcW w:w="4118" w:type="dxa"/>
            <w:vAlign w:val="center"/>
          </w:tcPr>
          <w:p w14:paraId="3D48012D" w14:textId="796ADF6E" w:rsidR="00C4397D" w:rsidRPr="00775336" w:rsidRDefault="00C4397D" w:rsidP="005250F5">
            <w:pPr>
              <w:spacing w:line="276" w:lineRule="auto"/>
              <w:cnfStyle w:val="000000100000" w:firstRow="0" w:lastRow="0" w:firstColumn="0" w:lastColumn="0" w:oddVBand="0" w:evenVBand="0" w:oddHBand="1" w:evenHBand="0" w:firstRowFirstColumn="0" w:firstRowLastColumn="0" w:lastRowFirstColumn="0" w:lastRowLastColumn="0"/>
              <w:rPr>
                <w:sz w:val="20"/>
                <w:szCs w:val="20"/>
              </w:rPr>
            </w:pPr>
            <w:r>
              <w:rPr>
                <w:sz w:val="20"/>
                <w:szCs w:val="20"/>
                <w:color w:val="FFC000"/>
              </w:rPr>
              <w:t xml:space="preserve">Drug Sensitivity Tier II - Level C</w:t>
            </w:r>
          </w:p>
        </w:tc>
      </w:tr>
    </w:tbl>
    <w:p w14:paraId="1D565D54" w14:textId="11472FF8" w:rsidR="00F67FF5" w:rsidRDefault="0063144D" w:rsidP="00BF5412">
      <w:pPr>
        <w:rPr>
          <w:rFonts w:cstheme="minorHAnsi"/>
        </w:rPr>
      </w:pPr>
      <w:r>
        <w:rPr>
          <w:rFonts w:cstheme="minorHAnsi"/>
        </w:rPr>
        <w:t/>
      </w:r>
      <w:r w:rsidRPr="0063144D">
        <w:rPr>
          <w:rFonts w:cstheme="minorHAnsi"/>
        </w:rPr>
        <w:t/>
      </w:r>
      <w:r>
        <w:rPr>
          <w:rFonts w:cstheme="minorHAnsi"/>
        </w:rPr>
        <w:t/>
      </w:r>
    </w:p>
    <w:p w14:paraId="5DC6D505" w14:textId="76D55A35" w:rsidR="00276CFD" w:rsidRPr="00D7205E" w:rsidRDefault="00276CFD" w:rsidP="00276CFD">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Negative Findings</w:t>
      </w:r>
      <w:r w:rsidR="0059116A">
        <w:rPr>
          <w:rFonts w:cstheme="majorHAnsi"/>
          <w:b/>
          <w:smallCaps/>
          <w:color w:val="FFFFFF" w:themeColor="background1"/>
          <w:spacing w:val="10"/>
        </w:rPr>
        <w:t xml:space="preserve"> with Clinical Evidence</w:t>
      </w:r>
    </w:p>
    <w:tbl>
      <w:tblPr>
        <w:tblStyle w:val="ListTable6Colorful-Accent3"/>
        <w:tblpPr w:leftFromText="180" w:rightFromText="180" w:vertAnchor="text" w:tblpX="126" w:tblpY="1"/>
        <w:tblOverlap w:val="never"/>
        <w:tblW w:w="10710" w:type="dxa"/>
        <w:tblLayout w:type="fixed"/>
        <w:tblLook w:val="04A0" w:firstRow="1" w:lastRow="0" w:firstColumn="1" w:lastColumn="0" w:noHBand="0" w:noVBand="1"/>
      </w:tblPr>
      <w:tblGrid>
        <w:gridCol w:w="2610"/>
        <w:gridCol w:w="8100"/>
      </w:tblGrid>
      <w:tr w:rsidR="00276CFD" w14:paraId="4A0BD4C2" w14:textId="77777777" w:rsidTr="00795E3D">
        <w:trPr>
          <w:cnfStyle w:val="100000000000" w:firstRow="1" w:lastRow="0" w:firstColumn="0" w:lastColumn="0" w:oddVBand="0" w:evenVBand="0" w:oddHBand="0" w:evenHBand="0" w:firstRowFirstColumn="0" w:firstRowLastColumn="0" w:lastRowFirstColumn="0" w:lastRowLastColumn="0"/>
          <w:cantSplit/>
          <w:trHeight w:val="401"/>
        </w:trPr>
        <w:tc>
          <w:tcPr>
            <w:cnfStyle w:val="001000000000" w:firstRow="0" w:lastRow="0" w:firstColumn="1" w:lastColumn="0" w:oddVBand="0" w:evenVBand="0" w:oddHBand="0" w:evenHBand="0" w:firstRowFirstColumn="0" w:firstRowLastColumn="0" w:lastRowFirstColumn="0" w:lastRowLastColumn="0"/>
            <w:tcW w:w="2610" w:type="dxa"/>
            <w:vAlign w:val="bottom"/>
          </w:tcPr>
          <w:p w14:paraId="2FE70C7D" w14:textId="77777777" w:rsidR="00276CFD" w:rsidRPr="00D7205E" w:rsidRDefault="00276CFD" w:rsidP="00795E3D">
            <w:pPr>
              <w:rPr>
                <w:rFonts w:cstheme="minorHAnsi"/>
                <w:color w:val="0D0D0D" w:themeColor="text1" w:themeTint="F2"/>
                <w:sz w:val="20"/>
                <w:szCs w:val="20"/>
              </w:rPr>
            </w:pPr>
            <w:r>
              <w:rPr>
                <w:rFonts w:cstheme="minorHAnsi"/>
                <w:smallCaps/>
                <w:color w:val="0D0D0D" w:themeColor="text1" w:themeTint="F2"/>
              </w:rPr>
              <w:t xml:space="preserve">Primary Gene</w:t>
            </w:r>
          </w:p>
        </w:tc>
        <w:tc>
          <w:tcPr>
            <w:tcW w:w="8100" w:type="dxa"/>
            <w:vAlign w:val="bottom"/>
          </w:tcPr>
          <w:p w14:paraId="4DD6F1EC" w14:textId="77777777" w:rsidR="00276CFD" w:rsidRPr="00D7205E" w:rsidRDefault="00276CFD" w:rsidP="00795E3D">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Description</w:t>
            </w:r>
          </w:p>
        </w:tc>
      </w:tr>
      <w:tr w:rsidR="00276CFD" w:rsidRPr="00DB7AB8" w14:paraId="2B879645" w14:textId="77777777" w:rsidTr="00795E3D">
        <w:trPr>
          <w:cnfStyle w:val="000000100000" w:firstRow="0" w:lastRow="0" w:firstColumn="0" w:lastColumn="0" w:oddVBand="0" w:evenVBand="0" w:oddHBand="1" w:evenHBand="0" w:firstRowFirstColumn="0" w:firstRowLastColumn="0" w:lastRowFirstColumn="0" w:lastRowLastColumn="0"/>
          <w:cantSplit/>
          <w:trHeight w:val="470"/>
        </w:trPr>
        <w:tc>
          <w:tcPr>
            <w:cnfStyle w:val="001000000000" w:firstRow="0" w:lastRow="0" w:firstColumn="1" w:lastColumn="0" w:oddVBand="0" w:evenVBand="0" w:oddHBand="0" w:evenHBand="0" w:firstRowFirstColumn="0" w:firstRowLastColumn="0" w:lastRowFirstColumn="0" w:lastRowLastColumn="0"/>
            <w:tcW w:w="2610" w:type="dxa"/>
            <w:vAlign w:val="center"/>
          </w:tcPr>
          <w:p w14:paraId="42EDF124" w14:textId="77777777" w:rsidR="00276CFD" w:rsidRPr="00AE245C" w:rsidRDefault="00276CFD" w:rsidP="00795E3D">
            <w:pPr>
              <w:spacing w:line="276" w:lineRule="auto"/>
              <w:rPr>
                <w:b w:val="0"/>
                <w:bCs w:val="0"/>
                <w:color w:val="404040" w:themeColor="text1" w:themeTint="BF"/>
                <w:sz w:val="20"/>
                <w:szCs w:val="20"/>
              </w:rPr>
            </w:pPr>
            <w:r>
              <w:rPr>
                <w:color w:val="404040" w:themeColor="text1" w:themeTint="BF"/>
                <w:sz w:val="20"/>
                <w:szCs w:val="20"/>
              </w:rPr>
              <w:t/>
            </w:r>
            <w:r w:rsidRPr="00C4397D">
              <w:rPr>
                <w:color w:val="404040" w:themeColor="text1" w:themeTint="BF"/>
                <w:sz w:val="20"/>
                <w:szCs w:val="20"/>
              </w:rPr>
              <w:t/>
            </w:r>
            <w:r>
              <w:rPr>
                <w:color w:val="404040" w:themeColor="text1" w:themeTint="BF"/>
                <w:sz w:val="20"/>
                <w:szCs w:val="20"/>
              </w:rPr>
              <w:t xml:space="preserve">EGFR</w:t>
            </w:r>
          </w:p>
        </w:tc>
        <w:tc>
          <w:tcPr>
            <w:tcW w:w="8100" w:type="dxa"/>
            <w:vAlign w:val="center"/>
          </w:tcPr>
          <w:p w14:paraId="3D48C3AD" w14:textId="77777777" w:rsidR="00276CFD" w:rsidRPr="005D7FE8" w:rsidRDefault="00276CFD" w:rsidP="00795E3D">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775336">
              <w:rPr>
                <w:sz w:val="20"/>
                <w:szCs w:val="20"/>
              </w:rPr>
              <w:t xml:space="preserve">Negative Finding</w:t>
            </w:r>
            <w:r>
              <w:rPr>
                <w:sz w:val="20"/>
                <w:szCs w:val="20"/>
              </w:rPr>
              <w:t/>
            </w:r>
            <w:r w:rsidRPr="00775336">
              <w:rPr>
                <w:sz w:val="20"/>
                <w:szCs w:val="20"/>
              </w:rPr>
              <w:t/>
            </w:r>
            <w:r>
              <w:rPr>
                <w:sz w:val="20"/>
                <w:szCs w:val="20"/>
              </w:rPr>
              <w:t/>
            </w:r>
          </w:p>
        </w:tc>
      </w:tr>
      <w:tr w:rsidR="00276CFD" w:rsidRPr="00DB7AB8" w14:paraId="2B879645" w14:textId="77777777" w:rsidTr="00795E3D">
        <w:trPr>
          <w:cnfStyle w:val="000000100000" w:firstRow="0" w:lastRow="0" w:firstColumn="0" w:lastColumn="0" w:oddVBand="0" w:evenVBand="0" w:oddHBand="1" w:evenHBand="0" w:firstRowFirstColumn="0" w:firstRowLastColumn="0" w:lastRowFirstColumn="0" w:lastRowLastColumn="0"/>
          <w:cantSplit/>
          <w:trHeight w:val="470"/>
        </w:trPr>
        <w:tc>
          <w:tcPr>
            <w:cnfStyle w:val="001000000000" w:firstRow="0" w:lastRow="0" w:firstColumn="1" w:lastColumn="0" w:oddVBand="0" w:evenVBand="0" w:oddHBand="0" w:evenHBand="0" w:firstRowFirstColumn="0" w:firstRowLastColumn="0" w:lastRowFirstColumn="0" w:lastRowLastColumn="0"/>
            <w:tcW w:w="2610" w:type="dxa"/>
            <w:vAlign w:val="center"/>
          </w:tcPr>
          <w:p w14:paraId="42EDF124" w14:textId="77777777" w:rsidR="00276CFD" w:rsidRPr="00AE245C" w:rsidRDefault="00276CFD" w:rsidP="00795E3D">
            <w:pPr>
              <w:spacing w:line="276" w:lineRule="auto"/>
              <w:rPr>
                <w:b w:val="0"/>
                <w:bCs w:val="0"/>
                <w:color w:val="404040" w:themeColor="text1" w:themeTint="BF"/>
                <w:sz w:val="20"/>
                <w:szCs w:val="20"/>
              </w:rPr>
            </w:pPr>
            <w:r>
              <w:rPr>
                <w:color w:val="404040" w:themeColor="text1" w:themeTint="BF"/>
                <w:sz w:val="20"/>
                <w:szCs w:val="20"/>
              </w:rPr>
              <w:t/>
            </w:r>
            <w:r w:rsidRPr="00C4397D">
              <w:rPr>
                <w:color w:val="404040" w:themeColor="text1" w:themeTint="BF"/>
                <w:sz w:val="20"/>
                <w:szCs w:val="20"/>
              </w:rPr>
              <w:t/>
            </w:r>
            <w:r>
              <w:rPr>
                <w:color w:val="404040" w:themeColor="text1" w:themeTint="BF"/>
                <w:sz w:val="20"/>
                <w:szCs w:val="20"/>
              </w:rPr>
              <w:t xml:space="preserve">ALK</w:t>
            </w:r>
          </w:p>
        </w:tc>
        <w:tc>
          <w:tcPr>
            <w:tcW w:w="8100" w:type="dxa"/>
            <w:vAlign w:val="center"/>
          </w:tcPr>
          <w:p w14:paraId="3D48C3AD" w14:textId="77777777" w:rsidR="00276CFD" w:rsidRPr="005D7FE8" w:rsidRDefault="00276CFD" w:rsidP="00795E3D">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775336">
              <w:rPr>
                <w:sz w:val="20"/>
                <w:szCs w:val="20"/>
              </w:rPr>
              <w:t xml:space="preserve">Negative Finding</w:t>
            </w:r>
            <w:r>
              <w:rPr>
                <w:sz w:val="20"/>
                <w:szCs w:val="20"/>
              </w:rPr>
              <w:t/>
            </w:r>
            <w:r w:rsidRPr="00775336">
              <w:rPr>
                <w:sz w:val="20"/>
                <w:szCs w:val="20"/>
              </w:rPr>
              <w:t/>
            </w:r>
            <w:r>
              <w:rPr>
                <w:sz w:val="20"/>
                <w:szCs w:val="20"/>
              </w:rPr>
              <w:t/>
            </w:r>
          </w:p>
        </w:tc>
      </w:tr>
      <w:tr w:rsidR="00276CFD" w:rsidRPr="00DB7AB8" w14:paraId="2B879645" w14:textId="77777777" w:rsidTr="00795E3D">
        <w:trPr>
          <w:cnfStyle w:val="000000100000" w:firstRow="0" w:lastRow="0" w:firstColumn="0" w:lastColumn="0" w:oddVBand="0" w:evenVBand="0" w:oddHBand="1" w:evenHBand="0" w:firstRowFirstColumn="0" w:firstRowLastColumn="0" w:lastRowFirstColumn="0" w:lastRowLastColumn="0"/>
          <w:cantSplit/>
          <w:trHeight w:val="470"/>
        </w:trPr>
        <w:tc>
          <w:tcPr>
            <w:cnfStyle w:val="001000000000" w:firstRow="0" w:lastRow="0" w:firstColumn="1" w:lastColumn="0" w:oddVBand="0" w:evenVBand="0" w:oddHBand="0" w:evenHBand="0" w:firstRowFirstColumn="0" w:firstRowLastColumn="0" w:lastRowFirstColumn="0" w:lastRowLastColumn="0"/>
            <w:tcW w:w="2610" w:type="dxa"/>
            <w:vAlign w:val="center"/>
          </w:tcPr>
          <w:p w14:paraId="42EDF124" w14:textId="77777777" w:rsidR="00276CFD" w:rsidRPr="00AE245C" w:rsidRDefault="00276CFD" w:rsidP="00795E3D">
            <w:pPr>
              <w:spacing w:line="276" w:lineRule="auto"/>
              <w:rPr>
                <w:b w:val="0"/>
                <w:bCs w:val="0"/>
                <w:color w:val="404040" w:themeColor="text1" w:themeTint="BF"/>
                <w:sz w:val="20"/>
                <w:szCs w:val="20"/>
              </w:rPr>
            </w:pPr>
            <w:r>
              <w:rPr>
                <w:color w:val="404040" w:themeColor="text1" w:themeTint="BF"/>
                <w:sz w:val="20"/>
                <w:szCs w:val="20"/>
              </w:rPr>
              <w:t/>
            </w:r>
            <w:r w:rsidRPr="00C4397D">
              <w:rPr>
                <w:color w:val="404040" w:themeColor="text1" w:themeTint="BF"/>
                <w:sz w:val="20"/>
                <w:szCs w:val="20"/>
              </w:rPr>
              <w:t/>
            </w:r>
            <w:r>
              <w:rPr>
                <w:color w:val="404040" w:themeColor="text1" w:themeTint="BF"/>
                <w:sz w:val="20"/>
                <w:szCs w:val="20"/>
              </w:rPr>
              <w:t xml:space="preserve">ROS1</w:t>
            </w:r>
          </w:p>
        </w:tc>
        <w:tc>
          <w:tcPr>
            <w:tcW w:w="8100" w:type="dxa"/>
            <w:vAlign w:val="center"/>
          </w:tcPr>
          <w:p w14:paraId="3D48C3AD" w14:textId="77777777" w:rsidR="00276CFD" w:rsidRPr="005D7FE8" w:rsidRDefault="00276CFD" w:rsidP="00795E3D">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775336">
              <w:rPr>
                <w:sz w:val="20"/>
                <w:szCs w:val="20"/>
              </w:rPr>
              <w:t xml:space="preserve">Negative Finding</w:t>
            </w:r>
            <w:r>
              <w:rPr>
                <w:sz w:val="20"/>
                <w:szCs w:val="20"/>
              </w:rPr>
              <w:t/>
            </w:r>
            <w:r w:rsidRPr="00775336">
              <w:rPr>
                <w:sz w:val="20"/>
                <w:szCs w:val="20"/>
              </w:rPr>
              <w:t/>
            </w:r>
            <w:r>
              <w:rPr>
                <w:sz w:val="20"/>
                <w:szCs w:val="20"/>
              </w:rPr>
              <w:t/>
            </w:r>
          </w:p>
        </w:tc>
      </w:tr>
    </w:tbl>
    <w:p w14:paraId="1DCE877E" w14:textId="77777777" w:rsidR="00222DAF" w:rsidRDefault="0063144D" w:rsidP="00222DAF">
      <w:pPr>
        <w:rPr>
          <w:color w:val="7F7F7F" w:themeColor="text1" w:themeTint="80"/>
          <w:sz w:val="20"/>
          <w:szCs w:val="20"/>
        </w:rPr>
      </w:pPr>
      <w:r>
        <w:rPr>
          <w:rFonts w:cstheme="minorHAnsi"/>
        </w:rPr>
        <w:t/>
      </w:r>
      <w:r w:rsidR="00222DAF">
        <w:rPr>
          <w:color w:val="7F7F7F" w:themeColor="text1" w:themeTint="80"/>
          <w:sz w:val="20"/>
          <w:szCs w:val="20"/>
        </w:rPr>
        <w:t/>
      </w:r>
      <w:r w:rsidR="00222DAF" w:rsidRPr="008E1095">
        <w:rPr>
          <w:color w:val="7F7F7F" w:themeColor="text1" w:themeTint="80"/>
          <w:sz w:val="20"/>
          <w:szCs w:val="20"/>
        </w:rPr>
        <w:t/>
      </w:r>
      <w:r w:rsidR="00222DAF">
        <w:rPr>
          <w:color w:val="7F7F7F" w:themeColor="text1" w:themeTint="80"/>
          <w:sz w:val="20"/>
          <w:szCs w:val="20"/>
        </w:rPr>
        <w:t xml:space="preserve"> </w:t>
      </w:r>
    </w:p>
    <w:p w14:paraId="1730AF3D" w14:textId="77777777" w:rsidR="00222DAF" w:rsidRPr="00936A8A" w:rsidRDefault="00222DAF" w:rsidP="00222DAF">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lastRenderedPageBreak/>
        <w:t xml:space="preserve">Other Reported Biomarkers</w:t>
      </w:r>
    </w:p>
    <w:tbl>
      <w:tblPr>
        <w:tblStyle w:val="TableGrid"/>
        <w:tblW w:w="110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144" w:type="dxa"/>
          <w:left w:w="158" w:type="dxa"/>
          <w:bottom w:w="144" w:type="dxa"/>
          <w:right w:w="158" w:type="dxa"/>
        </w:tblCellMar>
        <w:tblLook w:val="04A0" w:firstRow="1" w:lastRow="0" w:firstColumn="1" w:lastColumn="0" w:noHBand="0" w:noVBand="1"/>
      </w:tblPr>
      <w:tblGrid>
        <w:gridCol w:w="5501"/>
        <w:gridCol w:w="5547"/>
      </w:tblGrid>
      <w:tr w:rsidR="00222DAF" w:rsidRPr="009824DA" w14:paraId="4F7F22B9" w14:textId="77777777" w:rsidTr="00882293">
        <w:trPr>
          <w:trHeight w:val="930"/>
          <w:tblHeader/>
        </w:trPr>
        <w:tc>
          <w:tcPr>
            <w:tcW w:w="5501" w:type="dxa"/>
          </w:tcPr>
          <w:tbl>
            <w:tblPr>
              <w:tblStyle w:val="ListTable6Colorful-Accent3"/>
              <w:tblpPr w:leftFromText="180" w:rightFromText="180" w:vertAnchor="text" w:tblpY="1"/>
              <w:tblW w:w="5177" w:type="dxa"/>
              <w:tblLayout w:type="fixed"/>
              <w:tblLook w:val="04A0" w:firstRow="1" w:lastRow="0" w:firstColumn="1" w:lastColumn="0" w:noHBand="0" w:noVBand="1"/>
            </w:tblPr>
            <w:tblGrid>
              <w:gridCol w:w="1398"/>
              <w:gridCol w:w="1957"/>
              <w:gridCol w:w="1822"/>
            </w:tblGrid>
            <w:tr w:rsidR="00222DAF" w14:paraId="752924BE" w14:textId="77777777" w:rsidTr="00882293">
              <w:trPr>
                <w:cnfStyle w:val="100000000000" w:firstRow="1" w:lastRow="0" w:firstColumn="0" w:lastColumn="0" w:oddVBand="0" w:evenVBand="0" w:oddHBand="0"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1398" w:type="dxa"/>
                </w:tcPr>
                <w:p w14:paraId="41BF6F0F" w14:textId="77777777" w:rsidR="00222DAF" w:rsidRPr="002534FB" w:rsidRDefault="00222DAF" w:rsidP="00882293">
                  <w:pPr>
                    <w:rPr>
                      <w:rFonts w:ascii="Calibri" w:hAnsi="Calibri" w:cs="Calibri"/>
                      <w:color w:val="auto"/>
                      <w:szCs w:val="18"/>
                    </w:rPr>
                  </w:pPr>
                  <w:r w:rsidRPr="00D7205E">
                    <w:rPr>
                      <w:rFonts w:cstheme="minorHAnsi"/>
                      <w:smallCaps/>
                      <w:color w:val="0D0D0D" w:themeColor="text1" w:themeTint="F2"/>
                    </w:rPr>
                    <w:t xml:space="preserve">Gene</w:t>
                  </w:r>
                </w:p>
              </w:tc>
              <w:tc>
                <w:tcPr>
                  <w:tcW w:w="1957" w:type="dxa"/>
                </w:tcPr>
                <w:p w14:paraId="68145941" w14:textId="77777777" w:rsidR="00222DAF" w:rsidRPr="002534FB" w:rsidRDefault="00222DAF" w:rsidP="00882293">
                  <w:pPr>
                    <w:cnfStyle w:val="100000000000" w:firstRow="1" w:lastRow="0" w:firstColumn="0" w:lastColumn="0" w:oddVBand="0" w:evenVBand="0" w:oddHBand="0" w:evenHBand="0" w:firstRowFirstColumn="0" w:firstRowLastColumn="0" w:lastRowFirstColumn="0" w:lastRowLastColumn="0"/>
                    <w:rPr>
                      <w:rFonts w:ascii="Calibri" w:hAnsi="Calibri" w:cs="Calibri"/>
                      <w:color w:val="auto"/>
                      <w:szCs w:val="18"/>
                    </w:rPr>
                  </w:pPr>
                  <w:r w:rsidRPr="00D7205E">
                    <w:rPr>
                      <w:rFonts w:cstheme="minorHAnsi"/>
                      <w:smallCaps/>
                      <w:color w:val="0D0D0D" w:themeColor="text1" w:themeTint="F2"/>
                    </w:rPr>
                    <w:t xml:space="preserve">Type</w:t>
                  </w:r>
                </w:p>
              </w:tc>
              <w:tc>
                <w:tcPr>
                  <w:tcW w:w="1822" w:type="dxa"/>
                </w:tcPr>
                <w:p w14:paraId="6FB10567" w14:textId="77777777" w:rsidR="00222DAF" w:rsidRPr="002534FB" w:rsidRDefault="00222DAF" w:rsidP="00882293">
                  <w:pPr>
                    <w:cnfStyle w:val="100000000000" w:firstRow="1" w:lastRow="0" w:firstColumn="0" w:lastColumn="0" w:oddVBand="0" w:evenVBand="0" w:oddHBand="0" w:evenHBand="0" w:firstRowFirstColumn="0" w:firstRowLastColumn="0" w:lastRowFirstColumn="0" w:lastRowLastColumn="0"/>
                    <w:rPr>
                      <w:rFonts w:ascii="Calibri" w:hAnsi="Calibri" w:cs="Calibri"/>
                      <w:szCs w:val="18"/>
                    </w:rPr>
                  </w:pPr>
                  <w:r w:rsidRPr="00D7205E">
                    <w:rPr>
                      <w:rFonts w:cstheme="minorHAnsi"/>
                      <w:smallCaps/>
                      <w:color w:val="0D0D0D" w:themeColor="text1" w:themeTint="F2"/>
                    </w:rPr>
                    <w:t xml:space="preserve">Description</w:t>
                  </w:r>
                </w:p>
              </w:tc>
            </w:tr>
            <w:tr w:rsidR="00222DAF" w:rsidRPr="008D5EEC" w14:paraId="7B3BCE55" w14:textId="77777777" w:rsidTr="00882293">
              <w:trPr>
                <w:cnfStyle w:val="000000100000" w:firstRow="0" w:lastRow="0" w:firstColumn="0" w:lastColumn="0" w:oddVBand="0" w:evenVBand="0" w:oddHBand="1" w:evenHBand="0" w:firstRowFirstColumn="0" w:firstRowLastColumn="0" w:lastRowFirstColumn="0" w:lastRowLastColumn="0"/>
                <w:trHeight w:val="182"/>
              </w:trPr>
              <w:tc>
                <w:tcPr>
                  <w:cnfStyle w:val="001000000000" w:firstRow="0" w:lastRow="0" w:firstColumn="1" w:lastColumn="0" w:oddVBand="0" w:evenVBand="0" w:oddHBand="0" w:evenHBand="0" w:firstRowFirstColumn="0" w:firstRowLastColumn="0" w:lastRowFirstColumn="0" w:lastRowLastColumn="0"/>
                  <w:tcW w:w="1398" w:type="dxa"/>
                </w:tcPr>
                <w:p w14:paraId="4673959E" w14:textId="77777777" w:rsidR="00222DAF" w:rsidRPr="00196079" w:rsidRDefault="00222DAF" w:rsidP="00882293">
                  <w:pPr>
                    <w:spacing w:line="276" w:lineRule="auto"/>
                    <w:rPr>
                      <w:rFonts w:asciiTheme="majorHAnsi" w:hAnsiTheme="majorHAnsi" w:cstheme="majorHAnsi"/>
                      <w:b w:val="0"/>
                      <w:i/>
                      <w:szCs w:val="18"/>
                    </w:rPr>
                  </w:pPr>
                  <w:r>
                    <w:rPr>
                      <w:b w:val="0"/>
                      <w:i/>
                      <w:color w:val="404040" w:themeColor="text1" w:themeTint="BF"/>
                      <w:sz w:val="20"/>
                      <w:szCs w:val="20"/>
                    </w:rPr>
                    <w:t/>
                  </w:r>
                  <w:r w:rsidRPr="006B6361">
                    <w:rPr>
                      <w:b w:val="0"/>
                      <w:i/>
                      <w:color w:val="404040" w:themeColor="text1" w:themeTint="BF"/>
                      <w:sz w:val="20"/>
                      <w:szCs w:val="20"/>
                    </w:rPr>
                    <w:t/>
                  </w:r>
                  <w:r>
                    <w:rPr>
                      <w:b w:val="0"/>
                      <w:i/>
                      <w:color w:val="404040" w:themeColor="text1" w:themeTint="BF"/>
                      <w:sz w:val="20"/>
                      <w:szCs w:val="20"/>
                    </w:rPr>
                    <w:t xml:space="preserve">MYCL</w:t>
                  </w:r>
                </w:p>
              </w:tc>
              <w:tc>
                <w:tcPr>
                  <w:tcW w:w="1957" w:type="dxa"/>
                </w:tcPr>
                <w:p w14:paraId="5B3FAD55" w14:textId="77777777" w:rsidR="00222DAF" w:rsidRPr="00196079"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404040" w:themeColor="text1" w:themeTint="BF"/>
                      <w:sz w:val="20"/>
                      <w:szCs w:val="20"/>
                    </w:rPr>
                    <w:t xml:space="preserve">Amplification</w:t>
                  </w:r>
                </w:p>
              </w:tc>
              <w:tc>
                <w:tcPr>
                  <w:tcW w:w="1822" w:type="dxa"/>
                </w:tcPr>
                <w:p w14:paraId="34E9750A" w14:textId="77777777" w:rsidR="00222DAF" w:rsidRPr="00B23B97"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auto"/>
                      <w:sz w:val="20"/>
                      <w:szCs w:val="20"/>
                    </w:rPr>
                    <w:t xml:space="preserve">Amplification</w:t>
                  </w:r>
                </w:p>
              </w:tc>
            </w:tr>
            <w:tr w:rsidR="00222DAF" w:rsidRPr="008D5EEC" w14:paraId="7B3BCE55" w14:textId="77777777" w:rsidTr="00882293">
              <w:trPr>
                <w:cnfStyle w:val="000000100000" w:firstRow="0" w:lastRow="0" w:firstColumn="0" w:lastColumn="0" w:oddVBand="0" w:evenVBand="0" w:oddHBand="1" w:evenHBand="0" w:firstRowFirstColumn="0" w:firstRowLastColumn="0" w:lastRowFirstColumn="0" w:lastRowLastColumn="0"/>
                <w:trHeight w:val="182"/>
              </w:trPr>
              <w:tc>
                <w:tcPr>
                  <w:cnfStyle w:val="001000000000" w:firstRow="0" w:lastRow="0" w:firstColumn="1" w:lastColumn="0" w:oddVBand="0" w:evenVBand="0" w:oddHBand="0" w:evenHBand="0" w:firstRowFirstColumn="0" w:firstRowLastColumn="0" w:lastRowFirstColumn="0" w:lastRowLastColumn="0"/>
                  <w:tcW w:w="1398" w:type="dxa"/>
                </w:tcPr>
                <w:p w14:paraId="4673959E" w14:textId="77777777" w:rsidR="00222DAF" w:rsidRPr="00196079" w:rsidRDefault="00222DAF" w:rsidP="00882293">
                  <w:pPr>
                    <w:spacing w:line="276" w:lineRule="auto"/>
                    <w:rPr>
                      <w:rFonts w:asciiTheme="majorHAnsi" w:hAnsiTheme="majorHAnsi" w:cstheme="majorHAnsi"/>
                      <w:b w:val="0"/>
                      <w:i/>
                      <w:szCs w:val="18"/>
                    </w:rPr>
                  </w:pPr>
                  <w:r>
                    <w:rPr>
                      <w:b w:val="0"/>
                      <w:i/>
                      <w:color w:val="404040" w:themeColor="text1" w:themeTint="BF"/>
                      <w:sz w:val="20"/>
                      <w:szCs w:val="20"/>
                    </w:rPr>
                    <w:t/>
                  </w:r>
                  <w:r w:rsidRPr="006B6361">
                    <w:rPr>
                      <w:b w:val="0"/>
                      <w:i/>
                      <w:color w:val="404040" w:themeColor="text1" w:themeTint="BF"/>
                      <w:sz w:val="20"/>
                      <w:szCs w:val="20"/>
                    </w:rPr>
                    <w:t/>
                  </w:r>
                  <w:r>
                    <w:rPr>
                      <w:b w:val="0"/>
                      <w:i/>
                      <w:color w:val="404040" w:themeColor="text1" w:themeTint="BF"/>
                      <w:sz w:val="20"/>
                      <w:szCs w:val="20"/>
                    </w:rPr>
                    <w:t xml:space="preserve">TFRC</w:t>
                  </w:r>
                </w:p>
              </w:tc>
              <w:tc>
                <w:tcPr>
                  <w:tcW w:w="1957" w:type="dxa"/>
                </w:tcPr>
                <w:p w14:paraId="5B3FAD55" w14:textId="77777777" w:rsidR="00222DAF" w:rsidRPr="00196079"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404040" w:themeColor="text1" w:themeTint="BF"/>
                      <w:sz w:val="20"/>
                      <w:szCs w:val="20"/>
                    </w:rPr>
                    <w:t xml:space="preserve">Amplification</w:t>
                  </w:r>
                </w:p>
              </w:tc>
              <w:tc>
                <w:tcPr>
                  <w:tcW w:w="1822" w:type="dxa"/>
                </w:tcPr>
                <w:p w14:paraId="34E9750A" w14:textId="77777777" w:rsidR="00222DAF" w:rsidRPr="00B23B97"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auto"/>
                      <w:sz w:val="20"/>
                      <w:szCs w:val="20"/>
                    </w:rPr>
                    <w:t xml:space="preserve">Amplification</w:t>
                  </w:r>
                </w:p>
              </w:tc>
            </w:tr>
          </w:tbl>
          <w:p w14:paraId="40677A94" w14:textId="77777777" w:rsidR="00222DAF" w:rsidRPr="009824DA" w:rsidRDefault="00222DAF" w:rsidP="00882293">
            <w:pPr>
              <w:rPr>
                <w:rFonts w:asciiTheme="majorHAnsi" w:hAnsiTheme="majorHAnsi" w:cstheme="majorHAnsi"/>
                <w:color w:val="7F7F7F" w:themeColor="text1" w:themeTint="80"/>
                <w:sz w:val="18"/>
                <w:szCs w:val="18"/>
              </w:rPr>
            </w:pPr>
          </w:p>
        </w:tc>
        <w:tc>
          <w:tcPr>
            <w:tcW w:w="5547" w:type="dxa"/>
          </w:tcPr>
          <w:tbl>
            <w:tblPr>
              <w:tblStyle w:val="ListTable6Colorful-Accent3"/>
              <w:tblpPr w:leftFromText="180" w:rightFromText="180" w:vertAnchor="text" w:tblpY="1"/>
              <w:tblW w:w="5400" w:type="dxa"/>
              <w:tblLayout w:type="fixed"/>
              <w:tblLook w:val="04A0" w:firstRow="1" w:lastRow="0" w:firstColumn="1" w:lastColumn="0" w:noHBand="0" w:noVBand="1"/>
            </w:tblPr>
            <w:tblGrid>
              <w:gridCol w:w="1506"/>
              <w:gridCol w:w="2038"/>
              <w:gridCol w:w="1856"/>
            </w:tblGrid>
            <w:tr w:rsidR="00222DAF" w14:paraId="4EBDBC2E" w14:textId="77777777" w:rsidTr="00882293">
              <w:trPr>
                <w:cnfStyle w:val="100000000000" w:firstRow="1" w:lastRow="0" w:firstColumn="0" w:lastColumn="0" w:oddVBand="0" w:evenVBand="0" w:oddHBand="0"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1506" w:type="dxa"/>
                </w:tcPr>
                <w:p w14:paraId="5CD66897" w14:textId="77777777" w:rsidR="00222DAF" w:rsidRPr="003F47F5" w:rsidRDefault="00222DAF" w:rsidP="00882293">
                  <w:pPr>
                    <w:rPr>
                      <w:rFonts w:ascii="Calibri" w:hAnsi="Calibri"/>
                      <w:color w:val="auto"/>
                      <w:szCs w:val="18"/>
                    </w:rPr>
                  </w:pPr>
                  <w:r w:rsidRPr="00D7205E">
                    <w:rPr>
                      <w:rFonts w:cstheme="minorHAnsi"/>
                      <w:smallCaps/>
                      <w:color w:val="0D0D0D" w:themeColor="text1" w:themeTint="F2"/>
                    </w:rPr>
                    <w:t xml:space="preserve">Gene</w:t>
                  </w:r>
                </w:p>
              </w:tc>
              <w:tc>
                <w:tcPr>
                  <w:tcW w:w="2038" w:type="dxa"/>
                </w:tcPr>
                <w:p w14:paraId="2877471E" w14:textId="77777777" w:rsidR="00222DAF" w:rsidRPr="003F47F5" w:rsidRDefault="00222DAF" w:rsidP="00882293">
                  <w:pPr>
                    <w:cnfStyle w:val="100000000000" w:firstRow="1" w:lastRow="0" w:firstColumn="0" w:lastColumn="0" w:oddVBand="0" w:evenVBand="0" w:oddHBand="0" w:evenHBand="0" w:firstRowFirstColumn="0" w:firstRowLastColumn="0" w:lastRowFirstColumn="0" w:lastRowLastColumn="0"/>
                    <w:rPr>
                      <w:rFonts w:ascii="Calibri" w:hAnsi="Calibri"/>
                      <w:color w:val="auto"/>
                      <w:szCs w:val="18"/>
                    </w:rPr>
                  </w:pPr>
                  <w:r w:rsidRPr="00D7205E">
                    <w:rPr>
                      <w:rFonts w:cstheme="minorHAnsi"/>
                      <w:smallCaps/>
                      <w:color w:val="0D0D0D" w:themeColor="text1" w:themeTint="F2"/>
                    </w:rPr>
                    <w:t xml:space="preserve">Type</w:t>
                  </w:r>
                </w:p>
              </w:tc>
              <w:tc>
                <w:tcPr>
                  <w:tcW w:w="1856" w:type="dxa"/>
                </w:tcPr>
                <w:p w14:paraId="02F010B6" w14:textId="77777777" w:rsidR="00222DAF" w:rsidRPr="00D7205E" w:rsidRDefault="00222DAF" w:rsidP="00882293">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sidRPr="00D7205E">
                    <w:rPr>
                      <w:rFonts w:cstheme="minorHAnsi"/>
                      <w:smallCaps/>
                      <w:color w:val="0D0D0D" w:themeColor="text1" w:themeTint="F2"/>
                    </w:rPr>
                    <w:t xml:space="preserve">Description</w:t>
                  </w:r>
                </w:p>
              </w:tc>
            </w:tr>
            <w:tr w:rsidR="00222DAF" w:rsidRPr="008D5EEC" w14:paraId="205C712D" w14:textId="77777777" w:rsidTr="00882293">
              <w:trPr>
                <w:cnfStyle w:val="000000100000" w:firstRow="0" w:lastRow="0" w:firstColumn="0" w:lastColumn="0" w:oddVBand="0" w:evenVBand="0" w:oddHBand="1"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506" w:type="dxa"/>
                </w:tcPr>
                <w:p w14:paraId="5FE9150A" w14:textId="77777777" w:rsidR="00222DAF" w:rsidRPr="00196079" w:rsidRDefault="00222DAF" w:rsidP="00882293">
                  <w:pPr>
                    <w:spacing w:line="276" w:lineRule="auto"/>
                    <w:rPr>
                      <w:rFonts w:asciiTheme="majorHAnsi" w:hAnsiTheme="majorHAnsi" w:cstheme="majorHAnsi"/>
                      <w:b w:val="0"/>
                      <w:i/>
                      <w:szCs w:val="18"/>
                    </w:rPr>
                  </w:pPr>
                  <w:r>
                    <w:rPr>
                      <w:b w:val="0"/>
                      <w:i/>
                      <w:color w:val="404040" w:themeColor="text1" w:themeTint="BF"/>
                      <w:sz w:val="20"/>
                      <w:szCs w:val="20"/>
                    </w:rPr>
                    <w:t/>
                  </w:r>
                  <w:r w:rsidRPr="006B6361">
                    <w:rPr>
                      <w:b w:val="0"/>
                      <w:i/>
                      <w:color w:val="404040" w:themeColor="text1" w:themeTint="BF"/>
                      <w:sz w:val="20"/>
                      <w:szCs w:val="20"/>
                    </w:rPr>
                    <w:t/>
                  </w:r>
                  <w:r>
                    <w:rPr>
                      <w:b w:val="0"/>
                      <w:i/>
                      <w:color w:val="404040" w:themeColor="text1" w:themeTint="BF"/>
                      <w:sz w:val="20"/>
                      <w:szCs w:val="20"/>
                    </w:rPr>
                    <w:t xml:space="preserve">PIK3CB</w:t>
                  </w:r>
                </w:p>
              </w:tc>
              <w:tc>
                <w:tcPr>
                  <w:tcW w:w="2038" w:type="dxa"/>
                </w:tcPr>
                <w:p w14:paraId="0BD919CC" w14:textId="77777777" w:rsidR="00222DAF" w:rsidRPr="00196079"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404040" w:themeColor="text1" w:themeTint="BF"/>
                      <w:sz w:val="20"/>
                      <w:szCs w:val="20"/>
                    </w:rPr>
                    <w:t xml:space="preserve">Amplification</w:t>
                  </w:r>
                </w:p>
              </w:tc>
              <w:tc>
                <w:tcPr>
                  <w:tcW w:w="1856" w:type="dxa"/>
                </w:tcPr>
                <w:p w14:paraId="22BF4F93" w14:textId="77777777" w:rsidR="00222DAF" w:rsidRPr="00B23B97"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auto"/>
                      <w:sz w:val="20"/>
                      <w:szCs w:val="20"/>
                    </w:rPr>
                    <w:t xml:space="preserve">Amplification</w:t>
                  </w:r>
                </w:p>
              </w:tc>
            </w:tr>
            <w:tr w:rsidR="00222DAF" w:rsidRPr="008D5EEC" w14:paraId="205C712D" w14:textId="77777777" w:rsidTr="00882293">
              <w:trPr>
                <w:cnfStyle w:val="000000100000" w:firstRow="0" w:lastRow="0" w:firstColumn="0" w:lastColumn="0" w:oddVBand="0" w:evenVBand="0" w:oddHBand="1"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506" w:type="dxa"/>
                </w:tcPr>
                <w:p w14:paraId="5FE9150A" w14:textId="77777777" w:rsidR="00222DAF" w:rsidRPr="00196079" w:rsidRDefault="00222DAF" w:rsidP="00882293">
                  <w:pPr>
                    <w:spacing w:line="276" w:lineRule="auto"/>
                    <w:rPr>
                      <w:rFonts w:asciiTheme="majorHAnsi" w:hAnsiTheme="majorHAnsi" w:cstheme="majorHAnsi"/>
                      <w:b w:val="0"/>
                      <w:i/>
                      <w:szCs w:val="18"/>
                    </w:rPr>
                  </w:pPr>
                  <w:r>
                    <w:rPr>
                      <w:b w:val="0"/>
                      <w:i/>
                      <w:color w:val="404040" w:themeColor="text1" w:themeTint="BF"/>
                      <w:sz w:val="20"/>
                      <w:szCs w:val="20"/>
                    </w:rPr>
                    <w:t/>
                  </w:r>
                  <w:r w:rsidRPr="006B6361">
                    <w:rPr>
                      <w:b w:val="0"/>
                      <w:i/>
                      <w:color w:val="404040" w:themeColor="text1" w:themeTint="BF"/>
                      <w:sz w:val="20"/>
                      <w:szCs w:val="20"/>
                    </w:rPr>
                    <w:t/>
                  </w:r>
                  <w:r>
                    <w:rPr>
                      <w:b w:val="0"/>
                      <w:i/>
                      <w:color w:val="404040" w:themeColor="text1" w:themeTint="BF"/>
                      <w:sz w:val="20"/>
                      <w:szCs w:val="20"/>
                    </w:rPr>
                    <w:t xml:space="preserve">ERCC2</w:t>
                  </w:r>
                </w:p>
              </w:tc>
              <w:tc>
                <w:tcPr>
                  <w:tcW w:w="2038" w:type="dxa"/>
                </w:tcPr>
                <w:p w14:paraId="0BD919CC" w14:textId="77777777" w:rsidR="00222DAF" w:rsidRPr="00196079"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404040" w:themeColor="text1" w:themeTint="BF"/>
                      <w:sz w:val="20"/>
                      <w:szCs w:val="20"/>
                    </w:rPr>
                    <w:t xml:space="preserve">Amplification</w:t>
                  </w:r>
                </w:p>
              </w:tc>
              <w:tc>
                <w:tcPr>
                  <w:tcW w:w="1856" w:type="dxa"/>
                </w:tcPr>
                <w:p w14:paraId="22BF4F93" w14:textId="77777777" w:rsidR="00222DAF" w:rsidRPr="00B23B97" w:rsidRDefault="00222DAF"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auto"/>
                      <w:sz w:val="20"/>
                      <w:szCs w:val="20"/>
                    </w:rPr>
                    <w:t xml:space="preserve">Amplification</w:t>
                  </w:r>
                </w:p>
              </w:tc>
            </w:tr>
          </w:tbl>
          <w:p w14:paraId="156E9CB9" w14:textId="77777777" w:rsidR="00222DAF" w:rsidRPr="009824DA" w:rsidRDefault="00222DAF" w:rsidP="00882293">
            <w:pPr>
              <w:rPr>
                <w:rFonts w:asciiTheme="majorHAnsi" w:hAnsiTheme="majorHAnsi" w:cstheme="majorHAnsi"/>
                <w:color w:val="7F7F7F" w:themeColor="text1" w:themeTint="80"/>
                <w:sz w:val="18"/>
                <w:szCs w:val="18"/>
              </w:rPr>
            </w:pPr>
          </w:p>
        </w:tc>
      </w:tr>
    </w:tbl>
    <w:p w14:paraId="411BACF4" w14:textId="3D468538" w:rsidR="00276CFD" w:rsidRPr="00102DF1" w:rsidRDefault="00222DAF" w:rsidP="00BF5412">
      <w:pPr>
        <w:rPr>
          <w:rFonts w:cstheme="minorHAnsi"/>
        </w:rPr>
      </w:pPr>
      <w:r>
        <w:rPr>
          <w:color w:val="7F7F7F" w:themeColor="text1" w:themeTint="80"/>
          <w:sz w:val="20"/>
          <w:szCs w:val="20"/>
        </w:rPr>
        <w:t/>
      </w:r>
      <w:r w:rsidR="00396E39">
        <w:rPr>
          <w:rFonts w:cstheme="minorHAnsi"/>
        </w:rPr>
        <w:t/>
      </w:r>
      <w:r w:rsidR="00396E39">
        <w:t/>
      </w:r>
      <w:r w:rsidR="00396E39" w:rsidRPr="00EB3D00">
        <w:rPr>
          <w:color w:val="7F7F7F" w:themeColor="text1" w:themeTint="80"/>
          <w:sz w:val="20"/>
          <w:szCs w:val="20"/>
        </w:rPr>
        <w:t/>
      </w:r>
      <w:r w:rsidR="00396E39">
        <w:rPr>
          <w:color w:val="7F7F7F" w:themeColor="text1" w:themeTint="80"/>
          <w:sz w:val="20"/>
          <w:szCs w:val="20"/>
        </w:rPr>
        <w:t/>
      </w:r>
    </w:p>
    <w:p w14:paraId="755F68CC" w14:textId="2F1DAB26" w:rsidR="00A12884" w:rsidRPr="00954647" w:rsidRDefault="00A12884" w:rsidP="00A12884">
      <w:pPr>
        <w:pStyle w:val="Heading1"/>
        <w:rPr>
          <w:rFonts w:asciiTheme="minorHAnsi" w:hAnsiTheme="minorHAnsi" w:cstheme="minorHAnsi"/>
          <w:b/>
          <w:color w:val="000000" w:themeColor="text1"/>
          <w:u w:val="single"/>
        </w:rPr>
      </w:pPr>
      <w:r>
        <w:rPr>
          <w:rFonts w:asciiTheme="minorHAnsi" w:hAnsiTheme="minorHAnsi" w:cstheme="minorHAnsi"/>
          <w:b/>
          <w:smallCaps/>
          <w:color w:val="0D0D0D" w:themeColor="text1" w:themeTint="F2"/>
          <w:spacing w:val="10"/>
          <w:sz w:val="28"/>
          <w:u w:val="single"/>
        </w:rPr>
        <w:t xml:space="preserve">V</w:t>
      </w:r>
      <w:r w:rsidRPr="00102DF1">
        <w:rPr>
          <w:rFonts w:asciiTheme="minorHAnsi" w:hAnsiTheme="minorHAnsi" w:cstheme="minorHAnsi"/>
          <w:b/>
          <w:smallCaps/>
          <w:color w:val="0D0D0D" w:themeColor="text1" w:themeTint="F2"/>
          <w:spacing w:val="10"/>
          <w:sz w:val="28"/>
          <w:u w:val="single"/>
        </w:rPr>
        <w:t xml:space="preserve">ariants with </w:t>
      </w:r>
      <w:r w:rsidR="00F0225E">
        <w:rPr>
          <w:rFonts w:asciiTheme="minorHAnsi" w:hAnsiTheme="minorHAnsi" w:cstheme="minorHAnsi"/>
          <w:b/>
          <w:smallCaps/>
          <w:color w:val="0D0D0D" w:themeColor="text1" w:themeTint="F2"/>
          <w:spacing w:val="10"/>
          <w:sz w:val="28"/>
          <w:u w:val="single"/>
        </w:rPr>
        <w:t xml:space="preserve">Uncertain</w:t>
      </w:r>
      <w:r w:rsidRPr="00102DF1">
        <w:rPr>
          <w:rFonts w:asciiTheme="minorHAnsi" w:hAnsiTheme="minorHAnsi" w:cstheme="minorHAnsi"/>
          <w:b/>
          <w:smallCaps/>
          <w:color w:val="0D0D0D" w:themeColor="text1" w:themeTint="F2"/>
          <w:spacing w:val="10"/>
          <w:sz w:val="28"/>
          <w:u w:val="single"/>
        </w:rPr>
        <w:t xml:space="preserve"> </w:t>
      </w:r>
      <w:r>
        <w:rPr>
          <w:rFonts w:asciiTheme="minorHAnsi" w:hAnsiTheme="minorHAnsi" w:cstheme="minorHAnsi"/>
          <w:b/>
          <w:smallCaps/>
          <w:color w:val="0D0D0D" w:themeColor="text1" w:themeTint="F2"/>
          <w:spacing w:val="10"/>
          <w:sz w:val="28"/>
          <w:u w:val="single"/>
        </w:rPr>
        <w:t xml:space="preserve">C</w:t>
      </w:r>
      <w:r w:rsidRPr="00102DF1">
        <w:rPr>
          <w:rFonts w:asciiTheme="minorHAnsi" w:hAnsiTheme="minorHAnsi" w:cstheme="minorHAnsi"/>
          <w:b/>
          <w:smallCaps/>
          <w:color w:val="0D0D0D" w:themeColor="text1" w:themeTint="F2"/>
          <w:spacing w:val="10"/>
          <w:sz w:val="28"/>
          <w:u w:val="single"/>
        </w:rPr>
        <w:t xml:space="preserve">linical </w:t>
      </w:r>
      <w:r>
        <w:rPr>
          <w:rFonts w:asciiTheme="minorHAnsi" w:hAnsiTheme="minorHAnsi" w:cstheme="minorHAnsi"/>
          <w:b/>
          <w:smallCaps/>
          <w:color w:val="0D0D0D" w:themeColor="text1" w:themeTint="F2"/>
          <w:spacing w:val="10"/>
          <w:sz w:val="28"/>
          <w:u w:val="single"/>
        </w:rPr>
        <w:t xml:space="preserve">S</w:t>
      </w:r>
      <w:r w:rsidRPr="00102DF1">
        <w:rPr>
          <w:rFonts w:asciiTheme="minorHAnsi" w:hAnsiTheme="minorHAnsi" w:cstheme="minorHAnsi"/>
          <w:b/>
          <w:smallCaps/>
          <w:color w:val="0D0D0D" w:themeColor="text1" w:themeTint="F2"/>
          <w:spacing w:val="10"/>
          <w:sz w:val="28"/>
          <w:u w:val="single"/>
        </w:rPr>
        <w:t xml:space="preserve">ignificance</w:t>
      </w:r>
      <w:r w:rsidRPr="00102DF1">
        <w:rPr>
          <w:rFonts w:asciiTheme="minorHAnsi" w:hAnsiTheme="minorHAnsi" w:cstheme="minorHAnsi"/>
          <w:b/>
          <w:color w:val="000000" w:themeColor="text1"/>
          <w:u w:val="single"/>
        </w:rPr>
        <w:tab/>
      </w:r>
      <w:r w:rsidRPr="00102DF1">
        <w:rPr>
          <w:rFonts w:asciiTheme="minorHAnsi" w:hAnsiTheme="minorHAnsi" w:cstheme="minorHAnsi"/>
          <w:b/>
          <w:color w:val="000000" w:themeColor="text1"/>
          <w:u w:val="single"/>
        </w:rPr>
        <w:tab/>
      </w:r>
      <w:r w:rsidRPr="00102DF1">
        <w:rPr>
          <w:rFonts w:asciiTheme="minorHAnsi" w:hAnsiTheme="minorHAnsi" w:cstheme="minorHAnsi"/>
          <w:b/>
          <w:color w:val="000000" w:themeColor="text1"/>
          <w:u w:val="single"/>
        </w:rPr>
        <w:tab/>
      </w:r>
      <w:r w:rsidRPr="00102DF1">
        <w:rPr>
          <w:rFonts w:asciiTheme="minorHAnsi" w:hAnsiTheme="minorHAnsi" w:cstheme="minorHAnsi"/>
          <w:b/>
          <w:color w:val="000000" w:themeColor="text1"/>
          <w:u w:val="single"/>
        </w:rPr>
        <w:tab/>
      </w:r>
      <w:r w:rsidRPr="00102DF1">
        <w:rPr>
          <w:rFonts w:asciiTheme="minorHAnsi" w:hAnsiTheme="minorHAnsi" w:cstheme="minorHAnsi"/>
          <w:b/>
          <w:color w:val="000000" w:themeColor="text1"/>
          <w:u w:val="single"/>
        </w:rPr>
        <w:tab/>
      </w:r>
      <w:r w:rsidRPr="00102DF1">
        <w:rPr>
          <w:rFonts w:asciiTheme="minorHAnsi" w:hAnsiTheme="minorHAnsi" w:cstheme="minorHAnsi"/>
          <w:b/>
          <w:color w:val="000000" w:themeColor="text1"/>
          <w:u w:val="single"/>
        </w:rPr>
        <w:tab/>
      </w:r>
      <w:r w:rsidRPr="00102DF1">
        <w:rPr>
          <w:rFonts w:asciiTheme="minorHAnsi" w:hAnsiTheme="minorHAnsi" w:cstheme="minorHAnsi"/>
          <w:b/>
          <w:color w:val="000000" w:themeColor="text1"/>
          <w:u w:val="single"/>
        </w:rPr>
        <w:tab/>
      </w:r>
      <w:r w:rsidRPr="00102DF1">
        <w:rPr>
          <w:rFonts w:asciiTheme="minorHAnsi" w:hAnsiTheme="minorHAnsi" w:cstheme="minorHAnsi"/>
          <w:b/>
          <w:color w:val="000000" w:themeColor="text1"/>
          <w:u w:val="single"/>
        </w:rPr>
        <w:tab/>
      </w:r>
    </w:p>
    <w:p w14:paraId="68445D75" w14:textId="46D2AE6B" w:rsidR="00A12884" w:rsidRPr="00A2125A" w:rsidRDefault="00244056" w:rsidP="00A12884">
      <w:pPr>
        <w:spacing w:before="240"/>
        <w:rPr>
          <w:color w:val="595959" w:themeColor="text1" w:themeTint="A6"/>
          <w:sz w:val="20"/>
          <w:szCs w:val="20"/>
        </w:rPr>
      </w:pPr>
      <w:r>
        <w:rPr>
          <w:color w:val="595959" w:themeColor="text1" w:themeTint="A6"/>
          <w:sz w:val="20"/>
          <w:szCs w:val="20"/>
        </w:rPr>
        <w:t/>
      </w:r>
      <w:r w:rsidR="009615BC">
        <w:rPr>
          <w:color w:val="7F7F7F" w:themeColor="text1" w:themeTint="80"/>
          <w:sz w:val="20"/>
          <w:szCs w:val="20"/>
        </w:rPr>
        <w:t/>
      </w:r>
      <w:r w:rsidR="009615BC" w:rsidRPr="00A97162">
        <w:rPr>
          <w:color w:val="7F7F7F" w:themeColor="text1" w:themeTint="80"/>
          <w:sz w:val="20"/>
          <w:szCs w:val="20"/>
        </w:rPr>
        <w:t/>
      </w:r>
      <w:r w:rsidR="009615BC">
        <w:rPr>
          <w:color w:val="7F7F7F" w:themeColor="text1" w:themeTint="80"/>
          <w:sz w:val="20"/>
          <w:szCs w:val="20"/>
        </w:rPr>
        <w:t/>
      </w:r>
      <w:r w:rsidR="00E417B8">
        <w:rPr>
          <w:color w:val="7F7F7F" w:themeColor="text1" w:themeTint="80"/>
          <w:sz w:val="20"/>
          <w:szCs w:val="20"/>
        </w:rPr>
        <w:tab/>
      </w:r>
      <w:r w:rsidR="00E417B8">
        <w:rPr>
          <w:color w:val="7F7F7F" w:themeColor="text1" w:themeTint="80"/>
          <w:sz w:val="20"/>
          <w:szCs w:val="20"/>
        </w:rPr>
        <w:tab/>
      </w:r>
    </w:p>
    <w:p w14:paraId="2DF44424" w14:textId="77777777" w:rsidR="00286A8C" w:rsidRPr="00D7205E" w:rsidRDefault="00286A8C" w:rsidP="00286A8C">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 Germline</w:t>
      </w:r>
      <w:r w:rsidRPr="00D7205E">
        <w:rPr>
          <w:rFonts w:cstheme="majorHAnsi"/>
          <w:b/>
          <w:smallCaps/>
          <w:color w:val="FFFFFF" w:themeColor="background1"/>
          <w:spacing w:val="10"/>
        </w:rPr>
        <w:t xml:space="preserve"> Alterations Detected</w:t>
      </w:r>
    </w:p>
    <w:tbl>
      <w:tblPr>
        <w:tblStyle w:val="ListTable6Colorful-Accent3"/>
        <w:tblpPr w:leftFromText="180" w:rightFromText="180" w:vertAnchor="text" w:tblpY="1"/>
        <w:tblOverlap w:val="never"/>
        <w:tblW w:w="10799" w:type="dxa"/>
        <w:tblLayout w:type="fixed"/>
        <w:tblLook w:val="04A0" w:firstRow="1" w:lastRow="0" w:firstColumn="1" w:lastColumn="0" w:noHBand="0" w:noVBand="1"/>
      </w:tblPr>
      <w:tblGrid>
        <w:gridCol w:w="1350"/>
        <w:gridCol w:w="1350"/>
        <w:gridCol w:w="1799"/>
        <w:gridCol w:w="1799"/>
        <w:gridCol w:w="2702"/>
        <w:gridCol w:w="1799"/>
      </w:tblGrid>
      <w:tr w:rsidR="00286A8C" w14:paraId="4FE6F457" w14:textId="77777777" w:rsidTr="00287E21">
        <w:trPr>
          <w:cnfStyle w:val="100000000000" w:firstRow="1" w:lastRow="0" w:firstColumn="0" w:lastColumn="0" w:oddVBand="0" w:evenVBand="0" w:oddHBand="0" w:evenHBand="0" w:firstRowFirstColumn="0" w:firstRowLastColumn="0" w:lastRowFirstColumn="0" w:lastRowLastColumn="0"/>
          <w:cantSplit/>
          <w:trHeight w:val="391"/>
        </w:trPr>
        <w:tc>
          <w:tcPr>
            <w:cnfStyle w:val="001000000000" w:firstRow="0" w:lastRow="0" w:firstColumn="1" w:lastColumn="0" w:oddVBand="0" w:evenVBand="0" w:oddHBand="0" w:evenHBand="0" w:firstRowFirstColumn="0" w:firstRowLastColumn="0" w:lastRowFirstColumn="0" w:lastRowLastColumn="0"/>
            <w:tcW w:w="1350" w:type="dxa"/>
            <w:vAlign w:val="bottom"/>
          </w:tcPr>
          <w:p w14:paraId="0EE6D566" w14:textId="77777777" w:rsidR="00286A8C" w:rsidRPr="00D7205E" w:rsidRDefault="00286A8C">
            <w:pPr>
              <w:rPr>
                <w:rFonts w:cstheme="minorHAnsi"/>
                <w:color w:val="0D0D0D" w:themeColor="text1" w:themeTint="F2"/>
                <w:sz w:val="20"/>
                <w:szCs w:val="20"/>
              </w:rPr>
            </w:pPr>
            <w:r w:rsidRPr="00D7205E">
              <w:rPr>
                <w:rFonts w:cstheme="minorHAnsi"/>
                <w:smallCaps/>
                <w:color w:val="0D0D0D" w:themeColor="text1" w:themeTint="F2"/>
              </w:rPr>
              <w:t xml:space="preserve">Gene</w:t>
            </w:r>
          </w:p>
        </w:tc>
        <w:tc>
          <w:tcPr>
            <w:tcW w:w="1350" w:type="dxa"/>
            <w:vAlign w:val="bottom"/>
          </w:tcPr>
          <w:p w14:paraId="489565FF" w14:textId="77777777" w:rsidR="00286A8C" w:rsidRPr="00D7205E" w:rsidRDefault="00286A8C">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sidRPr="00D7205E">
              <w:rPr>
                <w:rFonts w:cstheme="minorHAnsi"/>
                <w:smallCaps/>
                <w:color w:val="0D0D0D" w:themeColor="text1" w:themeTint="F2"/>
              </w:rPr>
              <w:t xml:space="preserve">Type</w:t>
            </w:r>
          </w:p>
        </w:tc>
        <w:tc>
          <w:tcPr>
            <w:tcW w:w="1799" w:type="dxa"/>
            <w:vAlign w:val="bottom"/>
          </w:tcPr>
          <w:p w14:paraId="2676CD77" w14:textId="77777777" w:rsidR="00286A8C" w:rsidRPr="00D7205E" w:rsidRDefault="00286A8C">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sidRPr="00D7205E">
              <w:rPr>
                <w:rFonts w:cstheme="minorHAnsi"/>
                <w:smallCaps/>
                <w:color w:val="0D0D0D" w:themeColor="text1" w:themeTint="F2"/>
              </w:rPr>
              <w:t xml:space="preserve">Description</w:t>
            </w:r>
          </w:p>
        </w:tc>
        <w:tc>
          <w:tcPr>
            <w:tcW w:w="1799" w:type="dxa"/>
            <w:vAlign w:val="bottom"/>
          </w:tcPr>
          <w:p w14:paraId="36B5224D" w14:textId="77777777" w:rsidR="00286A8C" w:rsidRPr="00D7205E" w:rsidRDefault="00286A8C">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Genotype</w:t>
            </w:r>
          </w:p>
        </w:tc>
        <w:tc>
          <w:tcPr>
            <w:tcW w:w="2702" w:type="dxa"/>
            <w:vAlign w:val="bottom"/>
          </w:tcPr>
          <w:p w14:paraId="5DF1B62B" w14:textId="77777777" w:rsidR="00286A8C" w:rsidRPr="00D7205E" w:rsidRDefault="00286A8C">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Disease Risk</w:t>
            </w:r>
          </w:p>
        </w:tc>
        <w:tc>
          <w:tcPr>
            <w:tcW w:w="1799" w:type="dxa"/>
            <w:vAlign w:val="bottom"/>
          </w:tcPr>
          <w:p w14:paraId="1CE6736E" w14:textId="77777777" w:rsidR="00286A8C" w:rsidRDefault="00286A8C">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Classification</w:t>
            </w:r>
          </w:p>
        </w:tc>
      </w:tr>
      <w:tr w:rsidR="00176C59" w14:paraId="20380AD3" w14:textId="77777777" w:rsidTr="00287E21">
        <w:trPr>
          <w:cnfStyle w:val="000000100000" w:firstRow="0" w:lastRow="0" w:firstColumn="0" w:lastColumn="0" w:oddVBand="0" w:evenVBand="0" w:oddHBand="1" w:evenHBand="0" w:firstRowFirstColumn="0" w:firstRowLastColumn="0" w:lastRowFirstColumn="0" w:lastRowLastColumn="0"/>
          <w:cantSplit/>
          <w:trHeight w:val="458"/>
        </w:trPr>
        <w:tc>
          <w:tcPr>
            <w:cnfStyle w:val="001000000000" w:firstRow="0" w:lastRow="0" w:firstColumn="1" w:lastColumn="0" w:oddVBand="0" w:evenVBand="0" w:oddHBand="0" w:evenHBand="0" w:firstRowFirstColumn="0" w:firstRowLastColumn="0" w:lastRowFirstColumn="0" w:lastRowLastColumn="0"/>
            <w:tcW w:w="1350" w:type="dxa"/>
            <w:vAlign w:val="center"/>
          </w:tcPr>
          <w:p w14:paraId="6A387BFA" w14:textId="2196638A" w:rsidR="00176C59" w:rsidRPr="005D7FE8" w:rsidRDefault="00176C59" w:rsidP="00176C59">
            <w:pPr>
              <w:spacing w:line="276" w:lineRule="auto"/>
              <w:rPr>
                <w:b w:val="0"/>
                <w:i/>
                <w:color w:val="404040" w:themeColor="text1" w:themeTint="BF"/>
                <w:sz w:val="20"/>
                <w:szCs w:val="20"/>
              </w:rPr>
            </w:pPr>
            <w:r>
              <w:rPr>
                <w:b w:val="0"/>
                <w:i/>
                <w:color w:val="404040" w:themeColor="text1" w:themeTint="BF"/>
                <w:sz w:val="20"/>
                <w:szCs w:val="20"/>
              </w:rPr>
              <w:t/>
            </w:r>
            <w:r w:rsidRPr="006B4BC9">
              <w:rPr>
                <w:b w:val="0"/>
                <w:i/>
                <w:color w:val="404040" w:themeColor="text1" w:themeTint="BF"/>
                <w:sz w:val="20"/>
                <w:szCs w:val="20"/>
              </w:rPr>
              <w:t/>
            </w:r>
            <w:r>
              <w:rPr>
                <w:b w:val="0"/>
                <w:i/>
                <w:color w:val="404040" w:themeColor="text1" w:themeTint="BF"/>
                <w:sz w:val="20"/>
                <w:szCs w:val="20"/>
              </w:rPr>
              <w:t xml:space="preserve">RAF1</w:t>
            </w:r>
          </w:p>
        </w:tc>
        <w:tc>
          <w:tcPr>
            <w:tcW w:w="1350" w:type="dxa"/>
            <w:vAlign w:val="center"/>
          </w:tcPr>
          <w:p w14:paraId="13F925E0" w14:textId="2F399A4F" w:rsidR="00176C59" w:rsidRPr="005D7FE8" w:rsidRDefault="00176C59" w:rsidP="00176C59">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color w:val="404040" w:themeColor="text1" w:themeTint="BF"/>
                <w:sz w:val="20"/>
                <w:szCs w:val="20"/>
              </w:rPr>
              <w:t xml:space="preserve">Missense Variant</w:t>
            </w:r>
          </w:p>
        </w:tc>
        <w:tc>
          <w:tcPr>
            <w:tcW w:w="1799" w:type="dxa"/>
            <w:vAlign w:val="center"/>
          </w:tcPr>
          <w:p w14:paraId="582EC61C" w14:textId="1C3CAFCB" w:rsidR="00176C59" w:rsidRPr="005D7FE8" w:rsidRDefault="00176C59" w:rsidP="00176C59">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color w:val="404040" w:themeColor="text1" w:themeTint="BF"/>
                <w:sz w:val="20"/>
                <w:szCs w:val="20"/>
              </w:rPr>
              <w:t xml:space="preserve">Ser257Leu</w:t>
            </w:r>
          </w:p>
        </w:tc>
        <w:tc>
          <w:tcPr>
            <w:tcW w:w="1799" w:type="dxa"/>
            <w:vAlign w:val="center"/>
          </w:tcPr>
          <w:p w14:paraId="157301CE" w14:textId="6BA1F5D3" w:rsidR="00176C59" w:rsidRDefault="00176C59" w:rsidP="00176C59">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color w:val="404040" w:themeColor="text1" w:themeTint="BF"/>
                <w:sz w:val="20"/>
                <w:szCs w:val="20"/>
              </w:rPr>
              <w:t xml:space="preserve">Heterozygous</w:t>
            </w:r>
          </w:p>
        </w:tc>
        <w:tc>
          <w:tcPr>
            <w:tcW w:w="2702" w:type="dxa"/>
            <w:vAlign w:val="center"/>
          </w:tcPr>
          <w:p w14:paraId="7819094F" w14:textId="748058BD" w:rsidR="00176C59" w:rsidRPr="005D7FE8" w:rsidRDefault="00176C59" w:rsidP="00176C59">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color w:val="404040" w:themeColor="text1" w:themeTint="BF"/>
                <w:sz w:val="20"/>
                <w:szCs w:val="20"/>
              </w:rPr>
              <w:t xml:space="preserve">Autosomal Dominant</w:t>
            </w:r>
            <w:proofErr w:type="spellStart"/>
            <w:r>
              <w:rPr>
                <w:color w:val="404040" w:themeColor="text1" w:themeTint="BF"/>
                <w:sz w:val="20"/>
                <w:szCs w:val="20"/>
              </w:rPr>
              <w:t/>
            </w:r>
            <w:proofErr w:type="spellEnd"/>
            <w:r>
              <w:rPr>
                <w:color w:val="404040" w:themeColor="text1" w:themeTint="BF"/>
                <w:sz w:val="20"/>
                <w:szCs w:val="20"/>
              </w:rPr>
              <w:t/>
            </w:r>
          </w:p>
        </w:tc>
        <w:tc>
          <w:tcPr>
            <w:tcW w:w="1799" w:type="dxa"/>
            <w:vAlign w:val="center"/>
          </w:tcPr>
          <w:p w14:paraId="738714DB" w14:textId="7D78ADB0" w:rsidR="00176C59" w:rsidRPr="00DB7AB8" w:rsidRDefault="00176C59" w:rsidP="00176C59">
            <w:pPr>
              <w:spacing w:line="276" w:lineRule="auto"/>
              <w:cnfStyle w:val="000000100000" w:firstRow="0" w:lastRow="0" w:firstColumn="0" w:lastColumn="0" w:oddVBand="0" w:evenVBand="0" w:oddHBand="1" w:evenHBand="0" w:firstRowFirstColumn="0" w:firstRowLastColumn="0" w:lastRowFirstColumn="0" w:lastRowLastColumn="0"/>
              <w:rPr>
                <w:color w:val="833C0B" w:themeColor="accent2" w:themeShade="80"/>
                <w:sz w:val="20"/>
                <w:szCs w:val="20"/>
              </w:rPr>
            </w:pPr>
            <w:r>
              <w:rPr>
                <w:sz w:val="20"/>
                <w:szCs w:val="20"/>
                <w:color w:val="833C0B"/>
              </w:rPr>
              <w:t xml:space="preserve">Pathogenic</w:t>
            </w:r>
          </w:p>
        </w:tc>
      </w:tr>
    </w:tbl>
    <w:p w14:paraId="048C04E7" w14:textId="5793B5E7" w:rsidR="000A0E94" w:rsidRDefault="009615BC" w:rsidP="00F1138F">
      <w:pPr>
        <w:spacing w:before="200" w:after="0"/>
        <w:rPr>
          <w:b/>
          <w:color w:val="7F7F7F" w:themeColor="text1" w:themeTint="80"/>
          <w:sz w:val="20"/>
          <w:szCs w:val="20"/>
        </w:rPr>
      </w:pPr>
      <w:r>
        <w:rPr>
          <w:b/>
          <w:color w:val="7F7F7F" w:themeColor="text1" w:themeTint="80"/>
          <w:sz w:val="20"/>
          <w:szCs w:val="20"/>
        </w:rPr>
        <w:t/>
      </w:r>
      <w:r w:rsidR="00396E39">
        <w:rPr>
          <w:b/>
          <w:color w:val="7F7F7F" w:themeColor="text1" w:themeTint="80"/>
          <w:sz w:val="20"/>
          <w:szCs w:val="20"/>
        </w:rPr>
        <w:t/>
      </w:r>
    </w:p>
    <w:p w14:paraId="0366BAE6" w14:textId="7963CBBD" w:rsidR="00F1138F" w:rsidRPr="00DE1564" w:rsidRDefault="00F1138F" w:rsidP="00F1138F">
      <w:pPr>
        <w:spacing w:before="200" w:after="0"/>
        <w:rPr>
          <w:rFonts w:cs="Calibri Light (Headings)"/>
          <w:b/>
          <w:smallCaps/>
          <w:color w:val="0D0D0D" w:themeColor="text1" w:themeTint="F2"/>
          <w:spacing w:val="10"/>
          <w:sz w:val="28"/>
          <w:u w:val="single"/>
        </w:rPr>
      </w:pPr>
      <w:r w:rsidRPr="00DE1564">
        <w:rPr>
          <w:rFonts w:cs="Calibri Light (Headings)"/>
          <w:b/>
          <w:smallCaps/>
          <w:color w:val="0D0D0D" w:themeColor="text1" w:themeTint="F2"/>
          <w:spacing w:val="10"/>
          <w:sz w:val="28"/>
          <w:u w:val="single"/>
        </w:rPr>
        <w:t xml:space="preserve">Relevant Clinical Trials</w:t>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r>
        <w:rPr>
          <w:rFonts w:cs="Calibri Light (Headings)"/>
          <w:b/>
          <w:smallCaps/>
          <w:color w:val="0D0D0D" w:themeColor="text1" w:themeTint="F2"/>
          <w:spacing w:val="10"/>
          <w:sz w:val="28"/>
          <w:u w:val="single"/>
        </w:rPr>
        <w:tab/>
      </w:r>
    </w:p>
    <w:p w14:paraId="171CBC22" w14:textId="77777777" w:rsidR="00F1138F" w:rsidRPr="00D7205E" w:rsidRDefault="00F1138F" w:rsidP="00F1138F">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Clinical Trials Summary</w:t>
      </w:r>
    </w:p>
    <w:tbl>
      <w:tblPr>
        <w:tblStyle w:val="ListTable6Colorful-Accent3"/>
        <w:tblpPr w:leftFromText="180" w:rightFromText="180" w:vertAnchor="text" w:tblpX="108" w:tblpY="1"/>
        <w:tblOverlap w:val="never"/>
        <w:tblW w:w="10818" w:type="dxa"/>
        <w:tblLayout w:type="fixed"/>
        <w:tblLook w:val="04A0" w:firstRow="1" w:lastRow="0" w:firstColumn="1" w:lastColumn="0" w:noHBand="0" w:noVBand="1"/>
      </w:tblPr>
      <w:tblGrid>
        <w:gridCol w:w="2178"/>
        <w:gridCol w:w="1980"/>
        <w:gridCol w:w="2790"/>
        <w:gridCol w:w="2592"/>
        <w:gridCol w:w="1278"/>
      </w:tblGrid>
      <w:tr w:rsidR="00F1138F" w14:paraId="1766FC2D" w14:textId="77777777" w:rsidTr="00BF5412">
        <w:trPr>
          <w:cnfStyle w:val="100000000000" w:firstRow="1" w:lastRow="0" w:firstColumn="0" w:lastColumn="0" w:oddVBand="0" w:evenVBand="0" w:oddHBand="0" w:evenHBand="0" w:firstRowFirstColumn="0" w:firstRowLastColumn="0" w:lastRowFirstColumn="0" w:lastRowLastColumn="0"/>
          <w:cantSplit/>
          <w:trHeight w:val="391"/>
        </w:trPr>
        <w:tc>
          <w:tcPr>
            <w:cnfStyle w:val="001000000000" w:firstRow="0" w:lastRow="0" w:firstColumn="1" w:lastColumn="0" w:oddVBand="0" w:evenVBand="0" w:oddHBand="0" w:evenHBand="0" w:firstRowFirstColumn="0" w:firstRowLastColumn="0" w:lastRowFirstColumn="0" w:lastRowLastColumn="0"/>
            <w:tcW w:w="2178" w:type="dxa"/>
            <w:vAlign w:val="bottom"/>
          </w:tcPr>
          <w:p w14:paraId="446A2F21" w14:textId="77777777" w:rsidR="00F1138F" w:rsidRPr="00D7205E" w:rsidRDefault="00F1138F" w:rsidP="00BF5412">
            <w:pPr>
              <w:rPr>
                <w:rFonts w:cstheme="minorHAnsi"/>
                <w:color w:val="0D0D0D" w:themeColor="text1" w:themeTint="F2"/>
                <w:sz w:val="20"/>
                <w:szCs w:val="20"/>
              </w:rPr>
            </w:pPr>
            <w:r>
              <w:rPr>
                <w:rFonts w:cstheme="minorHAnsi"/>
                <w:smallCaps/>
                <w:color w:val="0D0D0D" w:themeColor="text1" w:themeTint="F2"/>
              </w:rPr>
              <w:t xml:space="preserve">Genomic Finding</w:t>
            </w:r>
          </w:p>
        </w:tc>
        <w:tc>
          <w:tcPr>
            <w:tcW w:w="1980" w:type="dxa"/>
            <w:vAlign w:val="bottom"/>
          </w:tcPr>
          <w:p w14:paraId="389EE978" w14:textId="77777777" w:rsidR="00F1138F" w:rsidRPr="00D7205E" w:rsidRDefault="00F1138F" w:rsidP="00BF5412">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sidRPr="00D7205E">
              <w:rPr>
                <w:rFonts w:cstheme="minorHAnsi"/>
                <w:smallCaps/>
                <w:color w:val="0D0D0D" w:themeColor="text1" w:themeTint="F2"/>
              </w:rPr>
              <w:t xml:space="preserve">Type</w:t>
            </w:r>
          </w:p>
        </w:tc>
        <w:tc>
          <w:tcPr>
            <w:tcW w:w="2790" w:type="dxa"/>
            <w:vAlign w:val="bottom"/>
          </w:tcPr>
          <w:p w14:paraId="436F6A53" w14:textId="77777777" w:rsidR="00F1138F" w:rsidRPr="00D7205E" w:rsidRDefault="00F1138F" w:rsidP="00BF5412">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NCT ID</w:t>
            </w:r>
          </w:p>
        </w:tc>
        <w:tc>
          <w:tcPr>
            <w:tcW w:w="2592" w:type="dxa"/>
            <w:vAlign w:val="bottom"/>
          </w:tcPr>
          <w:p w14:paraId="244EC1CE" w14:textId="77777777" w:rsidR="00F1138F" w:rsidRPr="00D7205E" w:rsidRDefault="00F1138F" w:rsidP="00BF5412">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Drugs</w:t>
            </w:r>
          </w:p>
        </w:tc>
        <w:tc>
          <w:tcPr>
            <w:tcW w:w="1278" w:type="dxa"/>
            <w:vAlign w:val="bottom"/>
          </w:tcPr>
          <w:p w14:paraId="7C6DB288" w14:textId="77777777" w:rsidR="00F1138F" w:rsidRDefault="00F1138F" w:rsidP="00BF5412">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Phase</w:t>
            </w:r>
          </w:p>
        </w:tc>
      </w:tr>
      <w:tr w:rsidR="008E521A" w14:paraId="018F70E5" w14:textId="77777777" w:rsidTr="00BF5412">
        <w:trPr>
          <w:cnfStyle w:val="000000100000" w:firstRow="0" w:lastRow="0" w:firstColumn="0" w:lastColumn="0" w:oddVBand="0" w:evenVBand="0" w:oddHBand="1" w:evenHBand="0" w:firstRowFirstColumn="0" w:firstRowLastColumn="0" w:lastRowFirstColumn="0" w:lastRowLastColumn="0"/>
          <w:cantSplit/>
          <w:trHeight w:val="458"/>
        </w:trPr>
        <w:tc>
          <w:tcPr>
            <w:cnfStyle w:val="001000000000" w:firstRow="0" w:lastRow="0" w:firstColumn="1" w:lastColumn="0" w:oddVBand="0" w:evenVBand="0" w:oddHBand="0" w:evenHBand="0" w:firstRowFirstColumn="0" w:firstRowLastColumn="0" w:lastRowFirstColumn="0" w:lastRowLastColumn="0"/>
            <w:tcW w:w="2178" w:type="dxa"/>
            <w:vAlign w:val="center"/>
          </w:tcPr>
          <w:p w14:paraId="420C80C1" w14:textId="7C51FCBA" w:rsidR="008E521A" w:rsidRPr="005D7FE8" w:rsidRDefault="008E521A" w:rsidP="008E521A">
            <w:pPr>
              <w:spacing w:line="276" w:lineRule="auto"/>
              <w:rPr>
                <w:b w:val="0"/>
                <w:i/>
                <w:color w:val="404040" w:themeColor="text1" w:themeTint="BF"/>
                <w:sz w:val="20"/>
                <w:szCs w:val="20"/>
              </w:rPr>
            </w:pPr>
            <w:r>
              <w:rPr>
                <w:rFonts w:cstheme="minorHAnsi"/>
                <w:b w:val="0"/>
                <w:bCs w:val="0"/>
                <w:smallCaps/>
                <w:color w:val="0D0D0D" w:themeColor="text1" w:themeTint="F2"/>
              </w:rPr>
              <w:t/>
            </w:r>
            <w:r w:rsidRPr="00871002">
              <w:rPr>
                <w:rFonts w:cstheme="minorHAnsi"/>
                <w:b w:val="0"/>
                <w:bCs w:val="0"/>
                <w:smallCaps/>
                <w:color w:val="0D0D0D" w:themeColor="text1" w:themeTint="F2"/>
              </w:rPr>
              <w:t/>
            </w:r>
            <w:r>
              <w:rPr>
                <w:rFonts w:cstheme="minorHAnsi"/>
                <w:b w:val="0"/>
                <w:bCs w:val="0"/>
                <w:smallCaps/>
                <w:color w:val="0D0D0D" w:themeColor="text1" w:themeTint="F2"/>
              </w:rPr>
              <w:t xml:space="preserve">BRAF V600E</w:t>
            </w:r>
            <w:r>
              <w:rPr>
                <w:rFonts w:cstheme="minorHAnsi"/>
                <w:smallCaps/>
                <w:color w:val="0D0D0D" w:themeColor="text1" w:themeTint="F2"/>
              </w:rPr>
              <w:t/>
            </w:r>
          </w:p>
        </w:tc>
        <w:tc>
          <w:tcPr>
            <w:tcW w:w="1980" w:type="dxa"/>
            <w:vAlign w:val="center"/>
          </w:tcPr>
          <w:p w14:paraId="74B435C4" w14:textId="3220B5C0"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Mutation</w:t>
            </w:r>
          </w:p>
        </w:tc>
        <w:tc>
          <w:tcPr>
            <w:tcW w:w="2790" w:type="dxa"/>
            <w:vAlign w:val="center"/>
          </w:tcPr>
          <w:p w14:paraId="3BCDD440" w14:textId="2F208116"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NCT04302025</w:t>
            </w:r>
            <w:proofErr w:type="spellStart"/>
            <w:r>
              <w:rPr>
                <w:color w:val="404040" w:themeColor="text1" w:themeTint="BF"/>
                <w:sz w:val="20"/>
                <w:szCs w:val="20"/>
              </w:rPr>
              <w:t/>
            </w:r>
            <w:proofErr w:type="spellEnd"/>
            <w:r>
              <w:rPr>
                <w:color w:val="404040" w:themeColor="text1" w:themeTint="BF"/>
                <w:sz w:val="20"/>
                <w:szCs w:val="20"/>
              </w:rPr>
              <w:t/>
            </w:r>
          </w:p>
        </w:tc>
        <w:tc>
          <w:tcPr>
            <w:tcW w:w="2592" w:type="dxa"/>
            <w:vAlign w:val="center"/>
          </w:tcPr>
          <w:p w14:paraId="616ACA7E" w14:textId="12564D8E"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Atezolizumab, Vemurafenib, Cobimetinib</w:t>
            </w:r>
          </w:p>
        </w:tc>
        <w:tc>
          <w:tcPr>
            <w:tcW w:w="1278" w:type="dxa"/>
            <w:vAlign w:val="center"/>
          </w:tcPr>
          <w:p w14:paraId="65DD9AFB" w14:textId="152D2E7B" w:rsidR="008E521A" w:rsidRPr="00DB7AB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833C0B" w:themeColor="accent2" w:themeShade="80"/>
                <w:sz w:val="20"/>
                <w:szCs w:val="20"/>
              </w:rPr>
            </w:pPr>
            <w:r>
              <w:rPr>
                <w:sz w:val="20"/>
                <w:szCs w:val="20"/>
              </w:rPr>
              <w:t xml:space="preserve">II</w:t>
            </w:r>
          </w:p>
        </w:tc>
      </w:tr>
      <w:tr w:rsidR="008E521A" w14:paraId="018F70E5" w14:textId="77777777" w:rsidTr="00BF5412">
        <w:trPr>
          <w:cnfStyle w:val="000000100000" w:firstRow="0" w:lastRow="0" w:firstColumn="0" w:lastColumn="0" w:oddVBand="0" w:evenVBand="0" w:oddHBand="1" w:evenHBand="0" w:firstRowFirstColumn="0" w:firstRowLastColumn="0" w:lastRowFirstColumn="0" w:lastRowLastColumn="0"/>
          <w:cantSplit/>
          <w:trHeight w:val="458"/>
        </w:trPr>
        <w:tc>
          <w:tcPr>
            <w:cnfStyle w:val="001000000000" w:firstRow="0" w:lastRow="0" w:firstColumn="1" w:lastColumn="0" w:oddVBand="0" w:evenVBand="0" w:oddHBand="0" w:evenHBand="0" w:firstRowFirstColumn="0" w:firstRowLastColumn="0" w:lastRowFirstColumn="0" w:lastRowLastColumn="0"/>
            <w:tcW w:w="2178" w:type="dxa"/>
            <w:vAlign w:val="center"/>
          </w:tcPr>
          <w:p w14:paraId="420C80C1" w14:textId="7C51FCBA" w:rsidR="008E521A" w:rsidRPr="005D7FE8" w:rsidRDefault="008E521A" w:rsidP="008E521A">
            <w:pPr>
              <w:spacing w:line="276" w:lineRule="auto"/>
              <w:rPr>
                <w:b w:val="0"/>
                <w:i/>
                <w:color w:val="404040" w:themeColor="text1" w:themeTint="BF"/>
                <w:sz w:val="20"/>
                <w:szCs w:val="20"/>
              </w:rPr>
            </w:pPr>
            <w:r>
              <w:rPr>
                <w:rFonts w:cstheme="minorHAnsi"/>
                <w:b w:val="0"/>
                <w:bCs w:val="0"/>
                <w:smallCaps/>
                <w:color w:val="0D0D0D" w:themeColor="text1" w:themeTint="F2"/>
              </w:rPr>
              <w:t/>
            </w:r>
            <w:r w:rsidRPr="00871002">
              <w:rPr>
                <w:rFonts w:cstheme="minorHAnsi"/>
                <w:b w:val="0"/>
                <w:bCs w:val="0"/>
                <w:smallCaps/>
                <w:color w:val="0D0D0D" w:themeColor="text1" w:themeTint="F2"/>
              </w:rPr>
              <w:t/>
            </w:r>
            <w:r>
              <w:rPr>
                <w:rFonts w:cstheme="minorHAnsi"/>
                <w:b w:val="0"/>
                <w:bCs w:val="0"/>
                <w:smallCaps/>
                <w:color w:val="0D0D0D" w:themeColor="text1" w:themeTint="F2"/>
              </w:rPr>
              <w:t xml:space="preserve">Unspecified</w:t>
            </w:r>
            <w:r>
              <w:rPr>
                <w:rFonts w:cstheme="minorHAnsi"/>
                <w:smallCaps/>
                <w:color w:val="0D0D0D" w:themeColor="text1" w:themeTint="F2"/>
              </w:rPr>
              <w:t/>
            </w:r>
          </w:p>
        </w:tc>
        <w:tc>
          <w:tcPr>
            <w:tcW w:w="1980" w:type="dxa"/>
            <w:vAlign w:val="center"/>
          </w:tcPr>
          <w:p w14:paraId="74B435C4" w14:textId="3220B5C0"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Disease</w:t>
            </w:r>
          </w:p>
        </w:tc>
        <w:tc>
          <w:tcPr>
            <w:tcW w:w="2790" w:type="dxa"/>
            <w:vAlign w:val="center"/>
          </w:tcPr>
          <w:p w14:paraId="3BCDD440" w14:textId="2F208116"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NCT05091567</w:t>
            </w:r>
            <w:r>
              <w:br/>
            </w:r>
            <w:r>
              <w:br/>
            </w:r>
            <w:r>
              <w:rPr>
                <w:sz w:val="20"/>
                <w:szCs w:val="20"/>
              </w:rPr>
              <w:t xml:space="preserve">NCT03782207</w:t>
            </w:r>
            <w:r>
              <w:br/>
            </w:r>
            <w:r>
              <w:br/>
            </w:r>
            <w:r>
              <w:rPr>
                <w:sz w:val="20"/>
                <w:szCs w:val="20"/>
              </w:rPr>
              <w:t xml:space="preserve">NCT03811002</w:t>
            </w:r>
            <w:proofErr w:type="spellStart"/>
            <w:r>
              <w:rPr>
                <w:color w:val="404040" w:themeColor="text1" w:themeTint="BF"/>
                <w:sz w:val="20"/>
                <w:szCs w:val="20"/>
              </w:rPr>
              <w:t/>
            </w:r>
            <w:proofErr w:type="spellEnd"/>
            <w:r>
              <w:rPr>
                <w:color w:val="404040" w:themeColor="text1" w:themeTint="BF"/>
                <w:sz w:val="20"/>
                <w:szCs w:val="20"/>
              </w:rPr>
              <w:t/>
            </w:r>
          </w:p>
        </w:tc>
        <w:tc>
          <w:tcPr>
            <w:tcW w:w="2592" w:type="dxa"/>
            <w:vAlign w:val="center"/>
          </w:tcPr>
          <w:p w14:paraId="616ACA7E" w14:textId="12564D8E"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Atezolizumab</w:t>
            </w:r>
            <w:r>
              <w:br/>
            </w:r>
            <w:r>
              <w:br/>
            </w:r>
            <w:r>
              <w:rPr>
                <w:sz w:val="20"/>
                <w:szCs w:val="20"/>
              </w:rPr>
              <w:t xml:space="preserve">Atezolizumab</w:t>
            </w:r>
            <w:r>
              <w:br/>
            </w:r>
            <w:r>
              <w:br/>
            </w:r>
            <w:r>
              <w:rPr>
                <w:sz w:val="20"/>
                <w:szCs w:val="20"/>
              </w:rPr>
              <w:t xml:space="preserve">Atezolizumab, Cisplatin</w:t>
            </w:r>
          </w:p>
        </w:tc>
        <w:tc>
          <w:tcPr>
            <w:tcW w:w="1278" w:type="dxa"/>
            <w:vAlign w:val="center"/>
          </w:tcPr>
          <w:p w14:paraId="65DD9AFB" w14:textId="152D2E7B" w:rsidR="008E521A" w:rsidRPr="00DB7AB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833C0B" w:themeColor="accent2" w:themeShade="80"/>
                <w:sz w:val="20"/>
                <w:szCs w:val="20"/>
              </w:rPr>
            </w:pPr>
            <w:r>
              <w:rPr>
                <w:sz w:val="20"/>
                <w:szCs w:val="20"/>
              </w:rPr>
              <w:t xml:space="preserve">III</w:t>
            </w:r>
            <w:r>
              <w:br/>
            </w:r>
            <w:r>
              <w:br/>
            </w:r>
            <w:r>
              <w:br/>
            </w:r>
            <w:r>
              <w:br/>
            </w:r>
            <w:r>
              <w:rPr>
                <w:sz w:val="20"/>
                <w:szCs w:val="20"/>
              </w:rPr>
              <w:t xml:space="preserve">II/III</w:t>
            </w:r>
          </w:p>
        </w:tc>
      </w:tr>
      <w:tr w:rsidR="008E521A" w14:paraId="018F70E5" w14:textId="77777777" w:rsidTr="00BF5412">
        <w:trPr>
          <w:cnfStyle w:val="000000100000" w:firstRow="0" w:lastRow="0" w:firstColumn="0" w:lastColumn="0" w:oddVBand="0" w:evenVBand="0" w:oddHBand="1" w:evenHBand="0" w:firstRowFirstColumn="0" w:firstRowLastColumn="0" w:lastRowFirstColumn="0" w:lastRowLastColumn="0"/>
          <w:cantSplit/>
          <w:trHeight w:val="458"/>
        </w:trPr>
        <w:tc>
          <w:tcPr>
            <w:cnfStyle w:val="001000000000" w:firstRow="0" w:lastRow="0" w:firstColumn="1" w:lastColumn="0" w:oddVBand="0" w:evenVBand="0" w:oddHBand="0" w:evenHBand="0" w:firstRowFirstColumn="0" w:firstRowLastColumn="0" w:lastRowFirstColumn="0" w:lastRowLastColumn="0"/>
            <w:tcW w:w="2178" w:type="dxa"/>
            <w:vAlign w:val="center"/>
          </w:tcPr>
          <w:p w14:paraId="420C80C1" w14:textId="7C51FCBA" w:rsidR="008E521A" w:rsidRPr="005D7FE8" w:rsidRDefault="008E521A" w:rsidP="008E521A">
            <w:pPr>
              <w:spacing w:line="276" w:lineRule="auto"/>
              <w:rPr>
                <w:b w:val="0"/>
                <w:i/>
                <w:color w:val="404040" w:themeColor="text1" w:themeTint="BF"/>
                <w:sz w:val="20"/>
                <w:szCs w:val="20"/>
              </w:rPr>
            </w:pPr>
            <w:r>
              <w:rPr>
                <w:rFonts w:cstheme="minorHAnsi"/>
                <w:b w:val="0"/>
                <w:bCs w:val="0"/>
                <w:smallCaps/>
                <w:color w:val="0D0D0D" w:themeColor="text1" w:themeTint="F2"/>
              </w:rPr>
              <w:t/>
            </w:r>
            <w:r w:rsidRPr="00871002">
              <w:rPr>
                <w:rFonts w:cstheme="minorHAnsi"/>
                <w:b w:val="0"/>
                <w:bCs w:val="0"/>
                <w:smallCaps/>
                <w:color w:val="0D0D0D" w:themeColor="text1" w:themeTint="F2"/>
              </w:rPr>
              <w:t/>
            </w:r>
            <w:r>
              <w:rPr>
                <w:rFonts w:cstheme="minorHAnsi"/>
                <w:b w:val="0"/>
                <w:bCs w:val="0"/>
                <w:smallCaps/>
                <w:color w:val="0D0D0D" w:themeColor="text1" w:themeTint="F2"/>
              </w:rPr>
              <w:t xml:space="preserve">ERBB2 Amplification</w:t>
            </w:r>
            <w:r>
              <w:rPr>
                <w:rFonts w:cstheme="minorHAnsi"/>
                <w:smallCaps/>
                <w:color w:val="0D0D0D" w:themeColor="text1" w:themeTint="F2"/>
              </w:rPr>
              <w:t/>
            </w:r>
          </w:p>
        </w:tc>
        <w:tc>
          <w:tcPr>
            <w:tcW w:w="1980" w:type="dxa"/>
            <w:vAlign w:val="center"/>
          </w:tcPr>
          <w:p w14:paraId="74B435C4" w14:textId="3220B5C0"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CNV</w:t>
            </w:r>
          </w:p>
        </w:tc>
        <w:tc>
          <w:tcPr>
            <w:tcW w:w="2790" w:type="dxa"/>
            <w:vAlign w:val="center"/>
          </w:tcPr>
          <w:p w14:paraId="3BCDD440" w14:textId="2F208116"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NCT04579380</w:t>
            </w:r>
            <w:proofErr w:type="spellStart"/>
            <w:r>
              <w:rPr>
                <w:color w:val="404040" w:themeColor="text1" w:themeTint="BF"/>
                <w:sz w:val="20"/>
                <w:szCs w:val="20"/>
              </w:rPr>
              <w:t/>
            </w:r>
            <w:proofErr w:type="spellEnd"/>
            <w:r>
              <w:rPr>
                <w:color w:val="404040" w:themeColor="text1" w:themeTint="BF"/>
                <w:sz w:val="20"/>
                <w:szCs w:val="20"/>
              </w:rPr>
              <w:t/>
            </w:r>
          </w:p>
        </w:tc>
        <w:tc>
          <w:tcPr>
            <w:tcW w:w="2592" w:type="dxa"/>
            <w:vAlign w:val="center"/>
          </w:tcPr>
          <w:p w14:paraId="616ACA7E" w14:textId="12564D8E" w:rsidR="008E521A" w:rsidRPr="005D7FE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trastuzumab</w:t>
            </w:r>
          </w:p>
        </w:tc>
        <w:tc>
          <w:tcPr>
            <w:tcW w:w="1278" w:type="dxa"/>
            <w:vAlign w:val="center"/>
          </w:tcPr>
          <w:p w14:paraId="65DD9AFB" w14:textId="152D2E7B" w:rsidR="008E521A" w:rsidRPr="00DB7AB8" w:rsidRDefault="008E521A" w:rsidP="008E521A">
            <w:pPr>
              <w:spacing w:line="276" w:lineRule="auto"/>
              <w:cnfStyle w:val="000000100000" w:firstRow="0" w:lastRow="0" w:firstColumn="0" w:lastColumn="0" w:oddVBand="0" w:evenVBand="0" w:oddHBand="1" w:evenHBand="0" w:firstRowFirstColumn="0" w:firstRowLastColumn="0" w:lastRowFirstColumn="0" w:lastRowLastColumn="0"/>
              <w:rPr>
                <w:color w:val="833C0B" w:themeColor="accent2" w:themeShade="80"/>
                <w:sz w:val="20"/>
                <w:szCs w:val="20"/>
              </w:rPr>
            </w:pPr>
            <w:r>
              <w:rPr>
                <w:sz w:val="20"/>
                <w:szCs w:val="20"/>
              </w:rPr>
              <w:t xml:space="preserve">II</w:t>
            </w:r>
          </w:p>
        </w:tc>
      </w:tr>
    </w:tbl>
    <w:p w14:paraId="425D4146" w14:textId="77777777" w:rsidR="00EA51A1" w:rsidRDefault="00EA51A1">
      <w:pPr>
        <w:rPr>
          <w:rFonts w:cs="Calibri Light (Headings)"/>
          <w:b/>
          <w:smallCaps/>
          <w:color w:val="0D0D0D" w:themeColor="text1" w:themeTint="F2"/>
          <w:spacing w:val="10"/>
          <w:sz w:val="28"/>
        </w:rPr>
      </w:pPr>
    </w:p>
    <w:p w14:paraId="08100548" w14:textId="595652AB" w:rsidR="004341D7" w:rsidRDefault="00396E39">
      <w:pPr>
        <w:rPr>
          <w:rFonts w:cs="Calibri Light (Headings)"/>
          <w:b/>
          <w:smallCaps/>
          <w:color w:val="0D0D0D" w:themeColor="text1" w:themeTint="F2"/>
          <w:spacing w:val="10"/>
          <w:sz w:val="28"/>
        </w:rPr>
      </w:pPr>
      <w:r>
        <w:rPr>
          <w:rFonts w:cs="Calibri Light (Headings)"/>
          <w:b/>
          <w:smallCaps/>
          <w:color w:val="0D0D0D" w:themeColor="text1" w:themeTint="F2"/>
          <w:spacing w:val="10"/>
          <w:sz w:val="28"/>
        </w:rPr>
        <w:t/>
      </w:r>
      <w:r w:rsidR="004341D7">
        <w:rPr>
          <w:rFonts w:cs="Calibri Light (Headings)"/>
          <w:b/>
          <w:smallCaps/>
          <w:color w:val="0D0D0D" w:themeColor="text1" w:themeTint="F2"/>
          <w:spacing w:val="10"/>
          <w:sz w:val="28"/>
        </w:rPr>
        <w:br w:type="page"/>
      </w:r>
    </w:p>
    <w:p w14:paraId="142F2B03" w14:textId="77777777" w:rsidR="00EF0A3D" w:rsidRDefault="00EF0A3D" w:rsidP="00EF0A3D">
      <w:pPr>
        <w:spacing w:after="0" w:line="240" w:lineRule="auto"/>
        <w:rPr>
          <w:rFonts w:cs="Calibri Light (Headings)"/>
          <w:b/>
          <w:smallCaps/>
          <w:color w:val="0D0D0D" w:themeColor="text1" w:themeTint="F2"/>
          <w:spacing w:val="10"/>
          <w:sz w:val="28"/>
        </w:rPr>
      </w:pPr>
      <w:r>
        <w:rPr>
          <w:rFonts w:cs="Calibri Light (Headings)"/>
          <w:b/>
          <w:smallCaps/>
          <w:color w:val="0D0D0D" w:themeColor="text1" w:themeTint="F2"/>
          <w:spacing w:val="10"/>
          <w:sz w:val="28"/>
        </w:rPr>
        <w:lastRenderedPageBreak/>
        <w:t>Methods and Limitations</w:t>
      </w:r>
    </w:p>
    <w:p w14:paraId="7091D958" w14:textId="77777777" w:rsidR="00EF0A3D" w:rsidRPr="00B70918" w:rsidRDefault="00EF0A3D" w:rsidP="00EF0A3D">
      <w:pPr>
        <w:spacing w:before="200"/>
        <w:rPr>
          <w:b/>
          <w:bCs/>
          <w:color w:val="0D0D0D" w:themeColor="text1" w:themeTint="F2"/>
          <w:szCs w:val="20"/>
        </w:rPr>
      </w:pPr>
      <w:r w:rsidRPr="00B70918">
        <w:rPr>
          <w:b/>
          <w:bCs/>
          <w:color w:val="0D0D0D" w:themeColor="text1" w:themeTint="F2"/>
          <w:szCs w:val="20"/>
        </w:rPr>
        <w:t>METHODOLOGY</w:t>
      </w:r>
    </w:p>
    <w:p w14:paraId="264BFB35" w14:textId="77777777" w:rsidR="00EF0A3D" w:rsidRPr="00020186" w:rsidRDefault="00EF0A3D" w:rsidP="00EF0A3D">
      <w:pPr>
        <w:spacing w:before="200"/>
        <w:rPr>
          <w:color w:val="595959" w:themeColor="text1" w:themeTint="A6"/>
          <w:szCs w:val="20"/>
        </w:rPr>
      </w:pPr>
      <w:r w:rsidRPr="00B70918">
        <w:rPr>
          <w:color w:val="595959" w:themeColor="text1" w:themeTint="A6"/>
          <w:szCs w:val="20"/>
        </w:rPr>
        <w:t xml:space="preserve">The individual’s DNA was extracted and fragmented, with fragments from the coding regions of the select gene panel targeted for amplification and sequencing. Reads from the sequence output were aligned to the human reference genome (GRCh37) using the Burrows-Wheeler Aligner (BWA). Variants to the reference were called using the Genomic Analysis Tool Kit (GATK). The variants were annotated and filtered using the Golden Helix </w:t>
      </w:r>
      <w:proofErr w:type="spellStart"/>
      <w:r w:rsidRPr="00B70918">
        <w:rPr>
          <w:color w:val="595959" w:themeColor="text1" w:themeTint="A6"/>
          <w:szCs w:val="20"/>
        </w:rPr>
        <w:t>VarSeq</w:t>
      </w:r>
      <w:proofErr w:type="spellEnd"/>
      <w:r w:rsidRPr="00B70918">
        <w:rPr>
          <w:color w:val="595959" w:themeColor="text1" w:themeTint="A6"/>
          <w:szCs w:val="20"/>
        </w:rPr>
        <w:t xml:space="preserve"> analysis workflow implementing the ACMG guidelines for interpretation of sequence variants. This includes comparison against the </w:t>
      </w:r>
      <w:proofErr w:type="spellStart"/>
      <w:r w:rsidRPr="00B70918">
        <w:rPr>
          <w:color w:val="595959" w:themeColor="text1" w:themeTint="A6"/>
          <w:szCs w:val="20"/>
        </w:rPr>
        <w:t>gnomAD</w:t>
      </w:r>
      <w:proofErr w:type="spellEnd"/>
      <w:r w:rsidRPr="00B70918">
        <w:rPr>
          <w:color w:val="595959" w:themeColor="text1" w:themeTint="A6"/>
          <w:szCs w:val="20"/>
        </w:rPr>
        <w:t xml:space="preserve"> population catalog of variants in 123,136 exomes, the 1000 Genomes Project Consortium’s publication of 2,500 genomes, the NCBI </w:t>
      </w:r>
      <w:proofErr w:type="spellStart"/>
      <w:r w:rsidRPr="00B70918">
        <w:rPr>
          <w:color w:val="595959" w:themeColor="text1" w:themeTint="A6"/>
          <w:szCs w:val="20"/>
        </w:rPr>
        <w:t>ClinVar</w:t>
      </w:r>
      <w:proofErr w:type="spellEnd"/>
      <w:r w:rsidRPr="00B70918">
        <w:rPr>
          <w:color w:val="595959" w:themeColor="text1" w:themeTint="A6"/>
          <w:szCs w:val="20"/>
        </w:rPr>
        <w:t xml:space="preserve"> database of clinical assertions on variant’s pathogenicity and multiple lines of computational evidence on conservation and functional impact. This test has not been cleared or approved by the U.S. Food and Drug Administration (FDA). The FDA has determined that such clearance or approval is not necessary.</w:t>
      </w:r>
    </w:p>
    <w:p w14:paraId="4BF0EC02" w14:textId="77777777" w:rsidR="00EF0A3D" w:rsidRPr="00B70918" w:rsidRDefault="00EF0A3D" w:rsidP="00EF0A3D">
      <w:pPr>
        <w:spacing w:before="200"/>
        <w:rPr>
          <w:b/>
          <w:bCs/>
          <w:color w:val="0D0D0D" w:themeColor="text1" w:themeTint="F2"/>
          <w:szCs w:val="20"/>
        </w:rPr>
      </w:pPr>
      <w:r w:rsidRPr="00B70918">
        <w:rPr>
          <w:b/>
          <w:bCs/>
          <w:color w:val="0D0D0D" w:themeColor="text1" w:themeTint="F2"/>
          <w:szCs w:val="20"/>
        </w:rPr>
        <w:t>VARIANT ASSESSMENT PROCESS</w:t>
      </w:r>
    </w:p>
    <w:p w14:paraId="749AD4B3" w14:textId="4D11FE75" w:rsidR="00EF0A3D" w:rsidRPr="00020186" w:rsidRDefault="00EF0A3D" w:rsidP="00EF0A3D">
      <w:pPr>
        <w:spacing w:before="200"/>
        <w:rPr>
          <w:color w:val="595959" w:themeColor="text1" w:themeTint="A6"/>
          <w:szCs w:val="20"/>
        </w:rPr>
      </w:pPr>
      <w:r w:rsidRPr="00B70918">
        <w:rPr>
          <w:color w:val="595959" w:themeColor="text1" w:themeTint="A6"/>
          <w:szCs w:val="20"/>
        </w:rPr>
        <w:t xml:space="preserve">The following databases and algorithms are used to annotate and evaluate the impact of the variant in the context of human disease: 1000 genomes, </w:t>
      </w:r>
      <w:proofErr w:type="spellStart"/>
      <w:r w:rsidRPr="00B70918">
        <w:rPr>
          <w:color w:val="595959" w:themeColor="text1" w:themeTint="A6"/>
          <w:szCs w:val="20"/>
        </w:rPr>
        <w:t>gnomAD</w:t>
      </w:r>
      <w:proofErr w:type="spellEnd"/>
      <w:r w:rsidRPr="00B70918">
        <w:rPr>
          <w:color w:val="595959" w:themeColor="text1" w:themeTint="A6"/>
          <w:szCs w:val="20"/>
        </w:rPr>
        <w:t xml:space="preserve">, </w:t>
      </w:r>
      <w:proofErr w:type="spellStart"/>
      <w:r w:rsidRPr="00B70918">
        <w:rPr>
          <w:color w:val="595959" w:themeColor="text1" w:themeTint="A6"/>
          <w:szCs w:val="20"/>
        </w:rPr>
        <w:t>ClinVar</w:t>
      </w:r>
      <w:proofErr w:type="spellEnd"/>
      <w:r w:rsidRPr="00B70918">
        <w:rPr>
          <w:color w:val="595959" w:themeColor="text1" w:themeTint="A6"/>
          <w:szCs w:val="20"/>
        </w:rPr>
        <w:t xml:space="preserve">, OMIM, </w:t>
      </w:r>
      <w:proofErr w:type="spellStart"/>
      <w:r w:rsidRPr="00B70918">
        <w:rPr>
          <w:color w:val="595959" w:themeColor="text1" w:themeTint="A6"/>
          <w:szCs w:val="20"/>
        </w:rPr>
        <w:t>dbSNP</w:t>
      </w:r>
      <w:proofErr w:type="spellEnd"/>
      <w:r w:rsidRPr="00B70918">
        <w:rPr>
          <w:color w:val="595959" w:themeColor="text1" w:themeTint="A6"/>
          <w:szCs w:val="20"/>
        </w:rPr>
        <w:t xml:space="preserve">, NCIB </w:t>
      </w:r>
      <w:proofErr w:type="spellStart"/>
      <w:r w:rsidRPr="00B70918">
        <w:rPr>
          <w:color w:val="595959" w:themeColor="text1" w:themeTint="A6"/>
          <w:szCs w:val="20"/>
        </w:rPr>
        <w:t>RefSeq</w:t>
      </w:r>
      <w:proofErr w:type="spellEnd"/>
      <w:r w:rsidRPr="00B70918">
        <w:rPr>
          <w:color w:val="595959" w:themeColor="text1" w:themeTint="A6"/>
          <w:szCs w:val="20"/>
        </w:rPr>
        <w:t xml:space="preserve"> Genes, </w:t>
      </w:r>
      <w:proofErr w:type="spellStart"/>
      <w:r w:rsidRPr="00B70918">
        <w:rPr>
          <w:color w:val="595959" w:themeColor="text1" w:themeTint="A6"/>
          <w:szCs w:val="20"/>
        </w:rPr>
        <w:t>ExAC</w:t>
      </w:r>
      <w:proofErr w:type="spellEnd"/>
      <w:r w:rsidRPr="00B70918">
        <w:rPr>
          <w:color w:val="595959" w:themeColor="text1" w:themeTint="A6"/>
          <w:szCs w:val="20"/>
        </w:rPr>
        <w:t xml:space="preserve"> Gene Constraints, VS-SIFT, VS-PolyPhen2, </w:t>
      </w:r>
      <w:proofErr w:type="spellStart"/>
      <w:r w:rsidRPr="00B70918">
        <w:rPr>
          <w:color w:val="595959" w:themeColor="text1" w:themeTint="A6"/>
          <w:szCs w:val="20"/>
        </w:rPr>
        <w:t>PhyloP</w:t>
      </w:r>
      <w:proofErr w:type="spellEnd"/>
      <w:r w:rsidRPr="00B70918">
        <w:rPr>
          <w:color w:val="595959" w:themeColor="text1" w:themeTint="A6"/>
          <w:szCs w:val="20"/>
        </w:rPr>
        <w:t xml:space="preserve">, GERP++, </w:t>
      </w:r>
      <w:proofErr w:type="spellStart"/>
      <w:r w:rsidRPr="00B70918">
        <w:rPr>
          <w:color w:val="595959" w:themeColor="text1" w:themeTint="A6"/>
          <w:szCs w:val="20"/>
        </w:rPr>
        <w:t>GeneSplicer</w:t>
      </w:r>
      <w:proofErr w:type="spellEnd"/>
      <w:r w:rsidRPr="00B70918">
        <w:rPr>
          <w:color w:val="595959" w:themeColor="text1" w:themeTint="A6"/>
          <w:szCs w:val="20"/>
        </w:rPr>
        <w:t xml:space="preserve">, </w:t>
      </w:r>
      <w:proofErr w:type="spellStart"/>
      <w:r w:rsidRPr="00B70918">
        <w:rPr>
          <w:color w:val="595959" w:themeColor="text1" w:themeTint="A6"/>
          <w:szCs w:val="20"/>
        </w:rPr>
        <w:t>MaxEntScan</w:t>
      </w:r>
      <w:proofErr w:type="spellEnd"/>
      <w:r w:rsidRPr="00B70918">
        <w:rPr>
          <w:color w:val="595959" w:themeColor="text1" w:themeTint="A6"/>
          <w:szCs w:val="20"/>
        </w:rPr>
        <w:t xml:space="preserve">, </w:t>
      </w:r>
      <w:proofErr w:type="spellStart"/>
      <w:r w:rsidRPr="00B70918">
        <w:rPr>
          <w:color w:val="595959" w:themeColor="text1" w:themeTint="A6"/>
          <w:szCs w:val="20"/>
        </w:rPr>
        <w:t>NNSplice</w:t>
      </w:r>
      <w:proofErr w:type="spellEnd"/>
      <w:r w:rsidRPr="00B70918">
        <w:rPr>
          <w:color w:val="595959" w:themeColor="text1" w:themeTint="A6"/>
          <w:szCs w:val="20"/>
        </w:rPr>
        <w:t xml:space="preserve">, PWM Splice Predictor. Analysis was reported </w:t>
      </w:r>
      <w:r w:rsidR="00C32B91">
        <w:rPr>
          <w:color w:val="595959" w:themeColor="text1" w:themeTint="A6"/>
          <w:szCs w:val="20"/>
        </w:rPr>
        <w:t>using</w:t>
      </w:r>
      <w:r w:rsidRPr="00B70918">
        <w:rPr>
          <w:color w:val="595959" w:themeColor="text1" w:themeTint="A6"/>
          <w:szCs w:val="20"/>
        </w:rPr>
        <w:t xml:space="preserve"> HGVS nomenclature (</w:t>
      </w:r>
      <w:hyperlink r:id="rId8" w:history="1">
        <w:r w:rsidRPr="00B70918">
          <w:rPr>
            <w:rStyle w:val="Hyperlink"/>
          </w:rPr>
          <w:t>www.hgvs.org/mutnomen</w:t>
        </w:r>
      </w:hyperlink>
      <w:r w:rsidRPr="00B70918">
        <w:rPr>
          <w:color w:val="595959" w:themeColor="text1" w:themeTint="A6"/>
          <w:szCs w:val="20"/>
        </w:rPr>
        <w:t xml:space="preserve">) as implemented by the </w:t>
      </w:r>
      <w:proofErr w:type="spellStart"/>
      <w:r w:rsidRPr="00B70918">
        <w:rPr>
          <w:color w:val="595959" w:themeColor="text1" w:themeTint="A6"/>
          <w:szCs w:val="20"/>
        </w:rPr>
        <w:t>VarSeq</w:t>
      </w:r>
      <w:proofErr w:type="spellEnd"/>
      <w:r w:rsidRPr="00B70918">
        <w:rPr>
          <w:color w:val="595959" w:themeColor="text1" w:themeTint="A6"/>
          <w:szCs w:val="20"/>
        </w:rPr>
        <w:t xml:space="preserve"> transcript annotation algorithm. The reported transcript matches that used most frequently by the clinical labs submitting to </w:t>
      </w:r>
      <w:proofErr w:type="spellStart"/>
      <w:r w:rsidRPr="00B70918">
        <w:rPr>
          <w:color w:val="595959" w:themeColor="text1" w:themeTint="A6"/>
          <w:szCs w:val="20"/>
        </w:rPr>
        <w:t>ClinVar</w:t>
      </w:r>
      <w:proofErr w:type="spellEnd"/>
      <w:r w:rsidRPr="00B70918">
        <w:rPr>
          <w:color w:val="595959" w:themeColor="text1" w:themeTint="A6"/>
          <w:szCs w:val="20"/>
        </w:rPr>
        <w:t>.</w:t>
      </w:r>
    </w:p>
    <w:p w14:paraId="72DEDE45" w14:textId="77777777" w:rsidR="00EF0A3D" w:rsidRPr="00B70918" w:rsidRDefault="00EF0A3D" w:rsidP="00EF0A3D">
      <w:pPr>
        <w:spacing w:before="200"/>
        <w:rPr>
          <w:b/>
          <w:bCs/>
          <w:color w:val="0D0D0D" w:themeColor="text1" w:themeTint="F2"/>
          <w:szCs w:val="20"/>
        </w:rPr>
      </w:pPr>
      <w:r w:rsidRPr="00B70918">
        <w:rPr>
          <w:b/>
          <w:bCs/>
          <w:color w:val="0D0D0D" w:themeColor="text1" w:themeTint="F2"/>
          <w:szCs w:val="20"/>
        </w:rPr>
        <w:t>LIMITATIONS</w:t>
      </w:r>
    </w:p>
    <w:p w14:paraId="6B01F805" w14:textId="575D014E" w:rsidR="00EF0A3D" w:rsidRPr="00020186" w:rsidRDefault="00EF0A3D" w:rsidP="00EF0A3D">
      <w:pPr>
        <w:spacing w:before="200"/>
        <w:rPr>
          <w:color w:val="595959" w:themeColor="text1" w:themeTint="A6"/>
          <w:szCs w:val="20"/>
        </w:rPr>
      </w:pPr>
      <w:r w:rsidRPr="00B70918">
        <w:rPr>
          <w:color w:val="595959" w:themeColor="text1" w:themeTint="A6"/>
          <w:szCs w:val="20"/>
        </w:rPr>
        <w:t xml:space="preserve">It should be noted that this test is </w:t>
      </w:r>
      <w:r w:rsidR="00C32B91">
        <w:rPr>
          <w:color w:val="595959" w:themeColor="text1" w:themeTint="A6"/>
          <w:szCs w:val="20"/>
        </w:rPr>
        <w:t>restricted</w:t>
      </w:r>
      <w:r w:rsidRPr="00B70918">
        <w:rPr>
          <w:color w:val="595959" w:themeColor="text1" w:themeTint="A6"/>
          <w:szCs w:val="20"/>
        </w:rPr>
        <w:t xml:space="preserve"> to a limited number of genes and does not include all intronic and non-coding regions. This report only includes variants that </w:t>
      </w:r>
      <w:r w:rsidR="00C32B91">
        <w:rPr>
          <w:color w:val="595959" w:themeColor="text1" w:themeTint="A6"/>
          <w:szCs w:val="20"/>
        </w:rPr>
        <w:t>meet</w:t>
      </w:r>
      <w:r w:rsidRPr="00B70918">
        <w:rPr>
          <w:color w:val="595959" w:themeColor="text1" w:themeTint="A6"/>
          <w:szCs w:val="20"/>
        </w:rPr>
        <w:t xml:space="preserve"> a level of evidence threshold for cause or contribute to disease. Certain classes of genomic variants are also not covered using the NGS testing technology, including triplet repeat expansions, copy number alterations, translocations</w:t>
      </w:r>
      <w:r w:rsidR="00C32B91">
        <w:rPr>
          <w:color w:val="595959" w:themeColor="text1" w:themeTint="A6"/>
          <w:szCs w:val="20"/>
        </w:rPr>
        <w:t>,</w:t>
      </w:r>
      <w:r w:rsidRPr="00B70918">
        <w:rPr>
          <w:color w:val="595959" w:themeColor="text1" w:themeTint="A6"/>
          <w:szCs w:val="20"/>
        </w:rPr>
        <w:t xml:space="preserve"> gene fusions</w:t>
      </w:r>
      <w:r w:rsidR="00C32B91">
        <w:rPr>
          <w:color w:val="595959" w:themeColor="text1" w:themeTint="A6"/>
          <w:szCs w:val="20"/>
        </w:rPr>
        <w:t>,</w:t>
      </w:r>
      <w:r w:rsidRPr="00B70918">
        <w:rPr>
          <w:color w:val="595959" w:themeColor="text1" w:themeTint="A6"/>
          <w:szCs w:val="20"/>
        </w:rPr>
        <w:t xml:space="preserve"> or other complex structural rearrangements. More evidence for disease association of genes and causal pathogenic variants are discovered every year, and it is recommended that genetic variants are re-interpreted with updated software and annotations periodically.</w:t>
      </w:r>
    </w:p>
    <w:p w14:paraId="4594DADE" w14:textId="77777777" w:rsidR="00EF0A3D" w:rsidRPr="00B70918" w:rsidRDefault="00EF0A3D" w:rsidP="00EF0A3D">
      <w:pPr>
        <w:spacing w:before="200"/>
        <w:rPr>
          <w:b/>
          <w:bCs/>
          <w:color w:val="0D0D0D" w:themeColor="text1" w:themeTint="F2"/>
          <w:szCs w:val="20"/>
        </w:rPr>
      </w:pPr>
      <w:r>
        <w:rPr>
          <w:b/>
          <w:bCs/>
          <w:color w:val="0D0D0D" w:themeColor="text1" w:themeTint="F2"/>
          <w:szCs w:val="20"/>
        </w:rPr>
        <w:t xml:space="preserve">GENERAL </w:t>
      </w:r>
      <w:r w:rsidRPr="00B70918">
        <w:rPr>
          <w:b/>
          <w:bCs/>
          <w:color w:val="0D0D0D" w:themeColor="text1" w:themeTint="F2"/>
          <w:szCs w:val="20"/>
        </w:rPr>
        <w:t>REFERENCES</w:t>
      </w:r>
    </w:p>
    <w:p w14:paraId="7A9D44A5" w14:textId="186AAE24" w:rsidR="00EF0A3D" w:rsidRPr="00020186" w:rsidRDefault="00EF0A3D" w:rsidP="00EF0A3D">
      <w:pPr>
        <w:spacing w:before="200"/>
        <w:rPr>
          <w:color w:val="595959" w:themeColor="text1" w:themeTint="A6"/>
          <w:szCs w:val="20"/>
        </w:rPr>
      </w:pPr>
      <w:r w:rsidRPr="00020186">
        <w:rPr>
          <w:color w:val="595959" w:themeColor="text1" w:themeTint="A6"/>
          <w:szCs w:val="20"/>
        </w:rPr>
        <w:t xml:space="preserve">Li, Marilyn M., </w:t>
      </w:r>
      <w:r w:rsidRPr="00CB3B05">
        <w:rPr>
          <w:i/>
          <w:iCs/>
          <w:color w:val="595959" w:themeColor="text1" w:themeTint="A6"/>
          <w:szCs w:val="20"/>
        </w:rPr>
        <w:t>et al.</w:t>
      </w:r>
      <w:r w:rsidRPr="00020186">
        <w:rPr>
          <w:color w:val="595959" w:themeColor="text1" w:themeTint="A6"/>
          <w:szCs w:val="20"/>
        </w:rPr>
        <w:t xml:space="preserve"> "Standards and guidelines for the interpretation and reporting of sequence variants in cancer: a joint consensus recommendation of the Association for Molecular Pathology, American Society of Clinical Oncology, and College of American Pathologists." </w:t>
      </w:r>
      <w:r w:rsidRPr="0056552A">
        <w:rPr>
          <w:i/>
          <w:iCs/>
          <w:color w:val="595959" w:themeColor="text1" w:themeTint="A6"/>
          <w:szCs w:val="20"/>
        </w:rPr>
        <w:t xml:space="preserve">The Journal of </w:t>
      </w:r>
      <w:r w:rsidR="0056552A">
        <w:rPr>
          <w:i/>
          <w:iCs/>
          <w:color w:val="595959" w:themeColor="text1" w:themeTint="A6"/>
          <w:szCs w:val="20"/>
        </w:rPr>
        <w:t>M</w:t>
      </w:r>
      <w:r w:rsidRPr="0056552A">
        <w:rPr>
          <w:i/>
          <w:iCs/>
          <w:color w:val="595959" w:themeColor="text1" w:themeTint="A6"/>
          <w:szCs w:val="20"/>
        </w:rPr>
        <w:t xml:space="preserve">olecular </w:t>
      </w:r>
      <w:r w:rsidR="0056552A">
        <w:rPr>
          <w:i/>
          <w:iCs/>
          <w:color w:val="595959" w:themeColor="text1" w:themeTint="A6"/>
          <w:szCs w:val="20"/>
        </w:rPr>
        <w:t>D</w:t>
      </w:r>
      <w:r w:rsidRPr="0056552A">
        <w:rPr>
          <w:i/>
          <w:iCs/>
          <w:color w:val="595959" w:themeColor="text1" w:themeTint="A6"/>
          <w:szCs w:val="20"/>
        </w:rPr>
        <w:t>iagnostics</w:t>
      </w:r>
      <w:r w:rsidRPr="00020186">
        <w:rPr>
          <w:color w:val="595959" w:themeColor="text1" w:themeTint="A6"/>
          <w:szCs w:val="20"/>
        </w:rPr>
        <w:t xml:space="preserve"> </w:t>
      </w:r>
      <w:r w:rsidR="00CB1EA5">
        <w:rPr>
          <w:color w:val="595959" w:themeColor="text1" w:themeTint="A6"/>
          <w:szCs w:val="20"/>
        </w:rPr>
        <w:t xml:space="preserve">(2017) </w:t>
      </w:r>
      <w:r w:rsidRPr="00020186">
        <w:rPr>
          <w:color w:val="595959" w:themeColor="text1" w:themeTint="A6"/>
          <w:szCs w:val="20"/>
        </w:rPr>
        <w:t>19</w:t>
      </w:r>
      <w:r w:rsidR="0056552A">
        <w:rPr>
          <w:color w:val="595959" w:themeColor="text1" w:themeTint="A6"/>
          <w:szCs w:val="20"/>
        </w:rPr>
        <w:t>(1)</w:t>
      </w:r>
      <w:r w:rsidRPr="00020186">
        <w:rPr>
          <w:color w:val="595959" w:themeColor="text1" w:themeTint="A6"/>
          <w:szCs w:val="20"/>
        </w:rPr>
        <w:t xml:space="preserve">: 4-23. </w:t>
      </w:r>
      <w:r w:rsidR="00CB3B05">
        <w:rPr>
          <w:color w:val="595959" w:themeColor="text1" w:themeTint="A6"/>
          <w:szCs w:val="20"/>
        </w:rPr>
        <w:t xml:space="preserve">PMID: </w:t>
      </w:r>
      <w:r w:rsidR="008525FA" w:rsidRPr="008525FA">
        <w:rPr>
          <w:color w:val="595959" w:themeColor="text1" w:themeTint="A6"/>
          <w:szCs w:val="20"/>
        </w:rPr>
        <w:t>27993330</w:t>
      </w:r>
      <w:r w:rsidR="00CB3B05">
        <w:rPr>
          <w:color w:val="595959" w:themeColor="text1" w:themeTint="A6"/>
          <w:szCs w:val="20"/>
        </w:rPr>
        <w:t>.</w:t>
      </w:r>
    </w:p>
    <w:p w14:paraId="7E5F7183" w14:textId="2940E307" w:rsidR="00EF0A3D" w:rsidRPr="00020186" w:rsidRDefault="00EF0A3D" w:rsidP="00EF0A3D">
      <w:pPr>
        <w:spacing w:before="200"/>
        <w:rPr>
          <w:color w:val="595959" w:themeColor="text1" w:themeTint="A6"/>
          <w:szCs w:val="20"/>
        </w:rPr>
      </w:pPr>
      <w:r w:rsidRPr="00B70918">
        <w:rPr>
          <w:color w:val="595959" w:themeColor="text1" w:themeTint="A6"/>
          <w:szCs w:val="20"/>
        </w:rPr>
        <w:t xml:space="preserve">Richards, Sue, </w:t>
      </w:r>
      <w:r w:rsidRPr="00CB3B05">
        <w:rPr>
          <w:i/>
          <w:iCs/>
          <w:color w:val="595959" w:themeColor="text1" w:themeTint="A6"/>
          <w:szCs w:val="20"/>
        </w:rPr>
        <w:t>et al.</w:t>
      </w:r>
      <w:r w:rsidRPr="00B70918">
        <w:rPr>
          <w:color w:val="595959" w:themeColor="text1" w:themeTint="A6"/>
          <w:szCs w:val="20"/>
        </w:rPr>
        <w:t xml:space="preserve"> "Standards and guidelines for the interpretation of sequence variants: a joint consensus recommendation of the American College of Medical Genetics and Genomics and the Association for Molecular Pathology." </w:t>
      </w:r>
      <w:r w:rsidRPr="0056552A">
        <w:rPr>
          <w:i/>
          <w:iCs/>
          <w:color w:val="595959" w:themeColor="text1" w:themeTint="A6"/>
          <w:szCs w:val="20"/>
        </w:rPr>
        <w:t xml:space="preserve">Genetics in </w:t>
      </w:r>
      <w:r w:rsidR="0056552A">
        <w:rPr>
          <w:i/>
          <w:iCs/>
          <w:color w:val="595959" w:themeColor="text1" w:themeTint="A6"/>
          <w:szCs w:val="20"/>
        </w:rPr>
        <w:t>M</w:t>
      </w:r>
      <w:r w:rsidRPr="0056552A">
        <w:rPr>
          <w:i/>
          <w:iCs/>
          <w:color w:val="595959" w:themeColor="text1" w:themeTint="A6"/>
          <w:szCs w:val="20"/>
        </w:rPr>
        <w:t>edicine</w:t>
      </w:r>
      <w:r w:rsidRPr="00B70918">
        <w:rPr>
          <w:color w:val="595959" w:themeColor="text1" w:themeTint="A6"/>
          <w:szCs w:val="20"/>
        </w:rPr>
        <w:t xml:space="preserve"> </w:t>
      </w:r>
      <w:r w:rsidR="00CB1EA5">
        <w:rPr>
          <w:color w:val="595959" w:themeColor="text1" w:themeTint="A6"/>
          <w:szCs w:val="20"/>
        </w:rPr>
        <w:t xml:space="preserve">(2015) </w:t>
      </w:r>
      <w:r w:rsidRPr="00B70918">
        <w:rPr>
          <w:color w:val="595959" w:themeColor="text1" w:themeTint="A6"/>
          <w:szCs w:val="20"/>
        </w:rPr>
        <w:t>17</w:t>
      </w:r>
      <w:r w:rsidR="0056552A">
        <w:rPr>
          <w:color w:val="595959" w:themeColor="text1" w:themeTint="A6"/>
          <w:szCs w:val="20"/>
        </w:rPr>
        <w:t>(</w:t>
      </w:r>
      <w:r w:rsidRPr="00B70918">
        <w:rPr>
          <w:color w:val="595959" w:themeColor="text1" w:themeTint="A6"/>
          <w:szCs w:val="20"/>
        </w:rPr>
        <w:t>5</w:t>
      </w:r>
      <w:r w:rsidR="0056552A">
        <w:rPr>
          <w:color w:val="595959" w:themeColor="text1" w:themeTint="A6"/>
          <w:szCs w:val="20"/>
        </w:rPr>
        <w:t>)</w:t>
      </w:r>
      <w:r w:rsidRPr="00B70918">
        <w:rPr>
          <w:color w:val="595959" w:themeColor="text1" w:themeTint="A6"/>
          <w:szCs w:val="20"/>
        </w:rPr>
        <w:t>: 405.</w:t>
      </w:r>
      <w:r w:rsidR="008525FA">
        <w:rPr>
          <w:color w:val="595959" w:themeColor="text1" w:themeTint="A6"/>
          <w:szCs w:val="20"/>
        </w:rPr>
        <w:t xml:space="preserve"> PMID: </w:t>
      </w:r>
      <w:r w:rsidR="00191012" w:rsidRPr="00191012">
        <w:rPr>
          <w:color w:val="595959" w:themeColor="text1" w:themeTint="A6"/>
          <w:szCs w:val="20"/>
        </w:rPr>
        <w:t>25741868</w:t>
      </w:r>
      <w:r w:rsidR="00191012">
        <w:rPr>
          <w:color w:val="595959" w:themeColor="text1" w:themeTint="A6"/>
          <w:szCs w:val="20"/>
        </w:rPr>
        <w:t>.</w:t>
      </w:r>
    </w:p>
    <w:p w14:paraId="2E92AD4C" w14:textId="70E9F6B7" w:rsidR="00EF0A3D" w:rsidRPr="00B70918" w:rsidRDefault="00EF0A3D" w:rsidP="00EF0A3D">
      <w:pPr>
        <w:spacing w:before="200"/>
        <w:rPr>
          <w:color w:val="595959" w:themeColor="text1" w:themeTint="A6"/>
          <w:szCs w:val="20"/>
        </w:rPr>
      </w:pPr>
      <w:r w:rsidRPr="00276CFD">
        <w:rPr>
          <w:color w:val="595959" w:themeColor="text1" w:themeTint="A6"/>
          <w:szCs w:val="20"/>
        </w:rPr>
        <w:t xml:space="preserve">Forbes, Simon A., </w:t>
      </w:r>
      <w:r w:rsidRPr="00CB3B05">
        <w:rPr>
          <w:i/>
          <w:iCs/>
          <w:color w:val="595959" w:themeColor="text1" w:themeTint="A6"/>
          <w:szCs w:val="20"/>
        </w:rPr>
        <w:t>et al.</w:t>
      </w:r>
      <w:r w:rsidRPr="00276CFD">
        <w:rPr>
          <w:color w:val="595959" w:themeColor="text1" w:themeTint="A6"/>
          <w:szCs w:val="20"/>
        </w:rPr>
        <w:t xml:space="preserve"> </w:t>
      </w:r>
      <w:r w:rsidRPr="00020186">
        <w:rPr>
          <w:color w:val="595959" w:themeColor="text1" w:themeTint="A6"/>
          <w:szCs w:val="20"/>
        </w:rPr>
        <w:t xml:space="preserve">"COSMIC: somatic cancer genetics at high-resolution." </w:t>
      </w:r>
      <w:r w:rsidRPr="0056552A">
        <w:rPr>
          <w:i/>
          <w:iCs/>
          <w:color w:val="595959" w:themeColor="text1" w:themeTint="A6"/>
          <w:szCs w:val="20"/>
        </w:rPr>
        <w:t xml:space="preserve">Nucleic </w:t>
      </w:r>
      <w:r w:rsidR="0056552A">
        <w:rPr>
          <w:i/>
          <w:iCs/>
          <w:color w:val="595959" w:themeColor="text1" w:themeTint="A6"/>
          <w:szCs w:val="20"/>
        </w:rPr>
        <w:t>A</w:t>
      </w:r>
      <w:r w:rsidRPr="0056552A">
        <w:rPr>
          <w:i/>
          <w:iCs/>
          <w:color w:val="595959" w:themeColor="text1" w:themeTint="A6"/>
          <w:szCs w:val="20"/>
        </w:rPr>
        <w:t xml:space="preserve">cids </w:t>
      </w:r>
      <w:r w:rsidR="0056552A">
        <w:rPr>
          <w:i/>
          <w:iCs/>
          <w:color w:val="595959" w:themeColor="text1" w:themeTint="A6"/>
          <w:szCs w:val="20"/>
        </w:rPr>
        <w:t>R</w:t>
      </w:r>
      <w:r w:rsidRPr="0056552A">
        <w:rPr>
          <w:i/>
          <w:iCs/>
          <w:color w:val="595959" w:themeColor="text1" w:themeTint="A6"/>
          <w:szCs w:val="20"/>
        </w:rPr>
        <w:t>esearch</w:t>
      </w:r>
      <w:r w:rsidRPr="00020186">
        <w:rPr>
          <w:color w:val="595959" w:themeColor="text1" w:themeTint="A6"/>
          <w:szCs w:val="20"/>
        </w:rPr>
        <w:t xml:space="preserve"> </w:t>
      </w:r>
      <w:r w:rsidR="00CB1EA5">
        <w:rPr>
          <w:color w:val="595959" w:themeColor="text1" w:themeTint="A6"/>
          <w:szCs w:val="20"/>
        </w:rPr>
        <w:t xml:space="preserve">(2016) </w:t>
      </w:r>
      <w:r w:rsidRPr="00020186">
        <w:rPr>
          <w:color w:val="595959" w:themeColor="text1" w:themeTint="A6"/>
          <w:szCs w:val="20"/>
        </w:rPr>
        <w:t>45</w:t>
      </w:r>
      <w:r w:rsidR="0056552A">
        <w:rPr>
          <w:color w:val="595959" w:themeColor="text1" w:themeTint="A6"/>
          <w:szCs w:val="20"/>
        </w:rPr>
        <w:t>(</w:t>
      </w:r>
      <w:r w:rsidRPr="00020186">
        <w:rPr>
          <w:color w:val="595959" w:themeColor="text1" w:themeTint="A6"/>
          <w:szCs w:val="20"/>
        </w:rPr>
        <w:t>D1</w:t>
      </w:r>
      <w:r w:rsidR="0056552A">
        <w:rPr>
          <w:color w:val="595959" w:themeColor="text1" w:themeTint="A6"/>
          <w:szCs w:val="20"/>
        </w:rPr>
        <w:t>)</w:t>
      </w:r>
      <w:r w:rsidRPr="00020186">
        <w:rPr>
          <w:color w:val="595959" w:themeColor="text1" w:themeTint="A6"/>
          <w:szCs w:val="20"/>
        </w:rPr>
        <w:t>: D777-D783.</w:t>
      </w:r>
      <w:r w:rsidR="00191012">
        <w:rPr>
          <w:color w:val="595959" w:themeColor="text1" w:themeTint="A6"/>
          <w:szCs w:val="20"/>
        </w:rPr>
        <w:t xml:space="preserve"> PMID: </w:t>
      </w:r>
      <w:r w:rsidR="00191012" w:rsidRPr="00191012">
        <w:rPr>
          <w:color w:val="595959" w:themeColor="text1" w:themeTint="A6"/>
          <w:szCs w:val="20"/>
        </w:rPr>
        <w:t>27899578</w:t>
      </w:r>
      <w:r w:rsidR="00191012">
        <w:rPr>
          <w:color w:val="595959" w:themeColor="text1" w:themeTint="A6"/>
          <w:szCs w:val="20"/>
        </w:rPr>
        <w:t>.</w:t>
      </w:r>
    </w:p>
    <w:p w14:paraId="4C0EF614" w14:textId="6025C619" w:rsidR="00EF0A3D" w:rsidRPr="00B70918" w:rsidRDefault="00EF0A3D" w:rsidP="00EF0A3D">
      <w:pPr>
        <w:spacing w:before="200"/>
        <w:rPr>
          <w:color w:val="595959" w:themeColor="text1" w:themeTint="A6"/>
          <w:szCs w:val="20"/>
        </w:rPr>
      </w:pPr>
      <w:r w:rsidRPr="008440EE">
        <w:rPr>
          <w:color w:val="595959" w:themeColor="text1" w:themeTint="A6"/>
          <w:szCs w:val="20"/>
        </w:rPr>
        <w:t xml:space="preserve">Exome Aggregation Consortium </w:t>
      </w:r>
      <w:r w:rsidRPr="008440EE">
        <w:rPr>
          <w:i/>
          <w:iCs/>
          <w:color w:val="595959" w:themeColor="text1" w:themeTint="A6"/>
          <w:szCs w:val="20"/>
        </w:rPr>
        <w:t>et al.</w:t>
      </w:r>
      <w:r w:rsidRPr="008440EE">
        <w:rPr>
          <w:color w:val="595959" w:themeColor="text1" w:themeTint="A6"/>
          <w:szCs w:val="20"/>
        </w:rPr>
        <w:t xml:space="preserve"> </w:t>
      </w:r>
      <w:r w:rsidRPr="00B70918">
        <w:rPr>
          <w:color w:val="595959" w:themeColor="text1" w:themeTint="A6"/>
          <w:szCs w:val="20"/>
        </w:rPr>
        <w:t xml:space="preserve">“Analysis of Protein-Coding Genetic Variation in 60,706 Humans.” </w:t>
      </w:r>
      <w:r w:rsidRPr="0056552A">
        <w:rPr>
          <w:i/>
          <w:iCs/>
          <w:color w:val="595959" w:themeColor="text1" w:themeTint="A6"/>
          <w:szCs w:val="20"/>
        </w:rPr>
        <w:t>Nature</w:t>
      </w:r>
      <w:r w:rsidRPr="00B70918">
        <w:rPr>
          <w:color w:val="595959" w:themeColor="text1" w:themeTint="A6"/>
          <w:szCs w:val="20"/>
        </w:rPr>
        <w:t xml:space="preserve"> </w:t>
      </w:r>
      <w:r w:rsidR="0056552A">
        <w:rPr>
          <w:color w:val="595959" w:themeColor="text1" w:themeTint="A6"/>
          <w:szCs w:val="20"/>
        </w:rPr>
        <w:t xml:space="preserve">(2016) </w:t>
      </w:r>
      <w:r w:rsidRPr="00B70918">
        <w:rPr>
          <w:color w:val="595959" w:themeColor="text1" w:themeTint="A6"/>
          <w:szCs w:val="20"/>
        </w:rPr>
        <w:t>536</w:t>
      </w:r>
      <w:r w:rsidR="0056552A">
        <w:rPr>
          <w:color w:val="595959" w:themeColor="text1" w:themeTint="A6"/>
          <w:szCs w:val="20"/>
        </w:rPr>
        <w:t>(</w:t>
      </w:r>
      <w:r w:rsidRPr="00B70918">
        <w:rPr>
          <w:color w:val="595959" w:themeColor="text1" w:themeTint="A6"/>
          <w:szCs w:val="20"/>
        </w:rPr>
        <w:t>7616</w:t>
      </w:r>
      <w:r w:rsidR="0056552A">
        <w:rPr>
          <w:color w:val="595959" w:themeColor="text1" w:themeTint="A6"/>
          <w:szCs w:val="20"/>
        </w:rPr>
        <w:t>)</w:t>
      </w:r>
      <w:r w:rsidRPr="00B70918">
        <w:rPr>
          <w:color w:val="595959" w:themeColor="text1" w:themeTint="A6"/>
          <w:szCs w:val="20"/>
        </w:rPr>
        <w:t>: 285–291.</w:t>
      </w:r>
      <w:r w:rsidR="003C0523">
        <w:rPr>
          <w:color w:val="595959" w:themeColor="text1" w:themeTint="A6"/>
          <w:szCs w:val="20"/>
        </w:rPr>
        <w:t xml:space="preserve"> PMID: </w:t>
      </w:r>
      <w:r w:rsidR="003C0523" w:rsidRPr="003C0523">
        <w:rPr>
          <w:color w:val="595959" w:themeColor="text1" w:themeTint="A6"/>
          <w:szCs w:val="20"/>
        </w:rPr>
        <w:t>27535533</w:t>
      </w:r>
      <w:r w:rsidR="003C0523">
        <w:rPr>
          <w:color w:val="595959" w:themeColor="text1" w:themeTint="A6"/>
          <w:szCs w:val="20"/>
        </w:rPr>
        <w:t>.</w:t>
      </w:r>
    </w:p>
    <w:p w14:paraId="75034351" w14:textId="56B02D96" w:rsidR="00EF0A3D" w:rsidRDefault="00EF0A3D" w:rsidP="00EF0A3D">
      <w:pPr>
        <w:spacing w:before="200"/>
        <w:rPr>
          <w:color w:val="595959" w:themeColor="text1" w:themeTint="A6"/>
          <w:szCs w:val="20"/>
        </w:rPr>
      </w:pPr>
      <w:r w:rsidRPr="00B70918">
        <w:rPr>
          <w:color w:val="595959" w:themeColor="text1" w:themeTint="A6"/>
          <w:szCs w:val="20"/>
        </w:rPr>
        <w:lastRenderedPageBreak/>
        <w:t xml:space="preserve">The 1000 Genomes Project Consortium. “A Global Reference for Human Genetic Variation.” </w:t>
      </w:r>
      <w:r w:rsidRPr="0056552A">
        <w:rPr>
          <w:i/>
          <w:iCs/>
          <w:color w:val="595959" w:themeColor="text1" w:themeTint="A6"/>
          <w:szCs w:val="20"/>
        </w:rPr>
        <w:t>Nature</w:t>
      </w:r>
      <w:r w:rsidRPr="00B70918">
        <w:rPr>
          <w:color w:val="595959" w:themeColor="text1" w:themeTint="A6"/>
          <w:szCs w:val="20"/>
        </w:rPr>
        <w:t xml:space="preserve"> </w:t>
      </w:r>
      <w:r w:rsidR="0056552A">
        <w:rPr>
          <w:color w:val="595959" w:themeColor="text1" w:themeTint="A6"/>
          <w:szCs w:val="20"/>
        </w:rPr>
        <w:t xml:space="preserve">(2015) </w:t>
      </w:r>
      <w:r w:rsidRPr="00B70918">
        <w:rPr>
          <w:color w:val="595959" w:themeColor="text1" w:themeTint="A6"/>
          <w:szCs w:val="20"/>
        </w:rPr>
        <w:t>526</w:t>
      </w:r>
      <w:r w:rsidR="0056552A">
        <w:rPr>
          <w:color w:val="595959" w:themeColor="text1" w:themeTint="A6"/>
          <w:szCs w:val="20"/>
        </w:rPr>
        <w:t>(</w:t>
      </w:r>
      <w:r w:rsidRPr="00B70918">
        <w:rPr>
          <w:color w:val="595959" w:themeColor="text1" w:themeTint="A6"/>
          <w:szCs w:val="20"/>
        </w:rPr>
        <w:t>7571</w:t>
      </w:r>
      <w:r w:rsidR="0056552A">
        <w:rPr>
          <w:color w:val="595959" w:themeColor="text1" w:themeTint="A6"/>
          <w:szCs w:val="20"/>
        </w:rPr>
        <w:t>)</w:t>
      </w:r>
      <w:r w:rsidRPr="00B70918">
        <w:rPr>
          <w:color w:val="595959" w:themeColor="text1" w:themeTint="A6"/>
          <w:szCs w:val="20"/>
        </w:rPr>
        <w:t>: 68–74.</w:t>
      </w:r>
      <w:r w:rsidR="009E286E">
        <w:rPr>
          <w:color w:val="595959" w:themeColor="text1" w:themeTint="A6"/>
          <w:szCs w:val="20"/>
        </w:rPr>
        <w:t xml:space="preserve"> PMID: </w:t>
      </w:r>
      <w:r w:rsidR="009E286E" w:rsidRPr="009E286E">
        <w:rPr>
          <w:color w:val="595959" w:themeColor="text1" w:themeTint="A6"/>
          <w:szCs w:val="20"/>
        </w:rPr>
        <w:t>26432245</w:t>
      </w:r>
      <w:r w:rsidR="009E286E">
        <w:rPr>
          <w:color w:val="595959" w:themeColor="text1" w:themeTint="A6"/>
          <w:szCs w:val="20"/>
        </w:rPr>
        <w:t>.</w:t>
      </w:r>
    </w:p>
    <w:p w14:paraId="193A6367" w14:textId="77777777" w:rsidR="00EF0A3D" w:rsidRPr="00F738DD" w:rsidRDefault="00EF0A3D" w:rsidP="00EF0A3D">
      <w:pPr>
        <w:spacing w:before="200"/>
        <w:rPr>
          <w:b/>
          <w:bCs/>
          <w:color w:val="0D0D0D" w:themeColor="text1" w:themeTint="F2"/>
          <w:szCs w:val="20"/>
        </w:rPr>
      </w:pPr>
      <w:r>
        <w:rPr>
          <w:b/>
          <w:bCs/>
          <w:color w:val="0D0D0D" w:themeColor="text1" w:themeTint="F2"/>
          <w:szCs w:val="20"/>
        </w:rPr>
        <w:t xml:space="preserve">INLINE REFERENCES BY PUBMED</w:t>
      </w:r>
    </w:p>
    <w:tbl>
      <w:tblPr>
        <w:tblStyle w:val="ListTable6Colorful-Accent3"/>
        <w:tblW w:w="10890" w:type="dxa"/>
        <w:tblLook w:val="04A0" w:firstRow="1" w:lastRow="0" w:firstColumn="1" w:lastColumn="0" w:noHBand="0" w:noVBand="1"/>
      </w:tblPr>
      <w:tblGrid>
        <w:gridCol w:w="3190"/>
        <w:gridCol w:w="7700"/>
      </w:tblGrid>
      <w:tr w:rsidR="00EF0A3D" w:rsidRPr="00D7205E" w14:paraId="12AFB3C8" w14:textId="77777777" w:rsidTr="00545CC8">
        <w:trPr>
          <w:cnfStyle w:val="100000000000" w:firstRow="1" w:lastRow="0" w:firstColumn="0" w:lastColumn="0" w:oddVBand="0" w:evenVBand="0" w:oddHBand="0" w:evenHBand="0" w:firstRowFirstColumn="0" w:firstRowLastColumn="0" w:lastRowFirstColumn="0" w:lastRowLastColumn="0"/>
          <w:cantSplit/>
          <w:trHeight w:val="239"/>
          <w:tblHeader/>
        </w:trPr>
        <w:tc>
          <w:tcPr>
            <w:cnfStyle w:val="001000000000" w:firstRow="0" w:lastRow="0" w:firstColumn="1" w:lastColumn="0" w:oddVBand="0" w:evenVBand="0" w:oddHBand="0" w:evenHBand="0" w:firstRowFirstColumn="0" w:firstRowLastColumn="0" w:lastRowFirstColumn="0" w:lastRowLastColumn="0"/>
            <w:tcW w:w="2340" w:type="dxa"/>
            <w:vAlign w:val="bottom"/>
          </w:tcPr>
          <w:p w14:paraId="70042C53" w14:textId="77777777" w:rsidR="00EF0A3D" w:rsidRPr="00D7205E" w:rsidRDefault="00EF0A3D" w:rsidP="00545CC8">
            <w:pPr>
              <w:rPr>
                <w:rFonts w:cstheme="minorHAnsi"/>
                <w:color w:val="0D0D0D" w:themeColor="text1" w:themeTint="F2"/>
                <w:sz w:val="20"/>
                <w:szCs w:val="20"/>
              </w:rPr>
            </w:pPr>
            <w:r>
              <w:rPr>
                <w:rFonts w:cstheme="minorHAnsi"/>
                <w:smallCaps/>
                <w:color w:val="0D0D0D" w:themeColor="text1" w:themeTint="F2"/>
              </w:rPr>
              <w:t xml:space="preserve">PMID</w:t>
            </w:r>
          </w:p>
        </w:tc>
        <w:tc>
          <w:tcPr>
            <w:tcW w:w="8550" w:type="dxa"/>
            <w:vAlign w:val="bottom"/>
          </w:tcPr>
          <w:p w14:paraId="6B25580C" w14:textId="77777777" w:rsidR="00EF0A3D" w:rsidRPr="00D7205E" w:rsidRDefault="00EF0A3D" w:rsidP="00545CC8">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Citation</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
              <w:r>
                <w:rPr>
                  <w:sz w:val="20"/>
                  <w:rStyle w:val="Hyperlink"/>
                </w:rPr>
                <w:t xml:space="preserve">28265006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Characterization of the Anti-PD-1 Antibody REGN2810 and Its Antitumor Activity in Human PD-1 Knock-In Mice.</w:t>
            </w:r>
            <w:r>
              <w:rPr>
                <w:color w:val="404040" w:themeColor="text1" w:themeTint="BF"/>
                <w:sz w:val="20"/>
                <w:szCs w:val="20"/>
              </w:rPr>
              <w:t xml:space="preserve"> </w:t>
            </w:r>
            <w:r w:rsidRPr="00D90DD4">
              <w:rPr>
                <w:i/>
                <w:color w:val="767171" w:themeColor="background2" w:themeShade="80"/>
                <w:sz w:val="20"/>
                <w:szCs w:val="20"/>
              </w:rPr>
              <w:t xml:space="preserve">Burova E et al., Mol Cancer Ther. 2017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
              <w:r>
                <w:rPr>
                  <w:sz w:val="20"/>
                  <w:rStyle w:val="Hyperlink"/>
                </w:rPr>
                <w:t xml:space="preserve">34937915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foundations of immune checkpoint blockade and the ipilimumab approval decennial.</w:t>
            </w:r>
            <w:r>
              <w:rPr>
                <w:color w:val="404040" w:themeColor="text1" w:themeTint="BF"/>
                <w:sz w:val="20"/>
                <w:szCs w:val="20"/>
              </w:rPr>
              <w:t xml:space="preserve"> </w:t>
            </w:r>
            <w:r w:rsidRPr="00D90DD4">
              <w:rPr>
                <w:i/>
                <w:color w:val="767171" w:themeColor="background2" w:themeShade="80"/>
                <w:sz w:val="20"/>
                <w:szCs w:val="20"/>
              </w:rPr>
              <w:t xml:space="preserve">Korman AJ et al., Nat Rev Drug Discov. 2022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
              <w:r>
                <w:rPr>
                  <w:sz w:val="20"/>
                  <w:rStyle w:val="Hyperlink"/>
                </w:rPr>
                <w:t xml:space="preserve">36008722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Cemiplimab plus chemotherapy versus chemotherapy alone in non-small cell lung cancer: a randomized, controlled, double-blind phase 3 trial.</w:t>
            </w:r>
            <w:r>
              <w:rPr>
                <w:color w:val="404040" w:themeColor="text1" w:themeTint="BF"/>
                <w:sz w:val="20"/>
                <w:szCs w:val="20"/>
              </w:rPr>
              <w:t xml:space="preserve"> </w:t>
            </w:r>
            <w:r w:rsidRPr="00D90DD4">
              <w:rPr>
                <w:i/>
                <w:color w:val="767171" w:themeColor="background2" w:themeShade="80"/>
                <w:sz w:val="20"/>
                <w:szCs w:val="20"/>
              </w:rPr>
              <w:t xml:space="preserve">Gogishvili M et al., Nat Med. 2022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
              <w:r>
                <w:rPr>
                  <w:sz w:val="20"/>
                  <w:rStyle w:val="Hyperlink"/>
                </w:rPr>
                <w:t xml:space="preserve">33476593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First-line nivolumab plus ipilimumab combined with two cycles of chemotherapy in patients with non-small-cell lung cancer (CheckMate 9LA): an international, randomised, open-label, phase 3 trial.</w:t>
            </w:r>
            <w:r>
              <w:rPr>
                <w:color w:val="404040" w:themeColor="text1" w:themeTint="BF"/>
                <w:sz w:val="20"/>
                <w:szCs w:val="20"/>
              </w:rPr>
              <w:t xml:space="preserve"> </w:t>
            </w:r>
            <w:r w:rsidRPr="00D90DD4">
              <w:rPr>
                <w:i/>
                <w:color w:val="767171" w:themeColor="background2" w:themeShade="80"/>
                <w:sz w:val="20"/>
                <w:szCs w:val="20"/>
              </w:rPr>
              <w:t xml:space="preserve">Paz-Ares L et al., Lancet Oncol. 2021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
              <w:r>
                <w:rPr>
                  <w:sz w:val="20"/>
                  <w:rStyle w:val="Hyperlink"/>
                </w:rPr>
                <w:t xml:space="preserve">34607285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First-line nivolumab plus ipilimumab with two cycles of chemotherapy versus chemotherapy alone (four cycles) in advanced non-small-cell lung cancer: CheckMate 9LA 2-year update.</w:t>
            </w:r>
            <w:r>
              <w:rPr>
                <w:color w:val="404040" w:themeColor="text1" w:themeTint="BF"/>
                <w:sz w:val="20"/>
                <w:szCs w:val="20"/>
              </w:rPr>
              <w:t xml:space="preserve"> </w:t>
            </w:r>
            <w:r w:rsidRPr="00D90DD4">
              <w:rPr>
                <w:i/>
                <w:color w:val="767171" w:themeColor="background2" w:themeShade="80"/>
                <w:sz w:val="20"/>
                <w:szCs w:val="20"/>
              </w:rPr>
              <w:t xml:space="preserve">Reck M et al., ESMO Open. 2021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
              <w:r>
                <w:rPr>
                  <w:sz w:val="20"/>
                  <w:rStyle w:val="Hyperlink"/>
                </w:rPr>
                <w:t xml:space="preserve">27042127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Tremelimumab: research and clinical development.</w:t>
            </w:r>
            <w:r>
              <w:rPr>
                <w:color w:val="404040" w:themeColor="text1" w:themeTint="BF"/>
                <w:sz w:val="20"/>
                <w:szCs w:val="20"/>
              </w:rPr>
              <w:t xml:space="preserve"> </w:t>
            </w:r>
            <w:r w:rsidRPr="00D90DD4">
              <w:rPr>
                <w:i/>
                <w:color w:val="767171" w:themeColor="background2" w:themeShade="80"/>
                <w:sz w:val="20"/>
                <w:szCs w:val="20"/>
              </w:rPr>
              <w:t xml:space="preserve">Comin-Anduix B et al., Onco Targets Ther. 2016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
              <w:r>
                <w:rPr>
                  <w:sz w:val="20"/>
                  <w:rStyle w:val="Hyperlink"/>
                </w:rPr>
                <w:t xml:space="preserve">23444951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Tremelimumab: a review of development to date in solid tumors.</w:t>
            </w:r>
            <w:r>
              <w:rPr>
                <w:color w:val="404040" w:themeColor="text1" w:themeTint="BF"/>
                <w:sz w:val="20"/>
                <w:szCs w:val="20"/>
              </w:rPr>
              <w:t xml:space="preserve"> </w:t>
            </w:r>
            <w:r w:rsidRPr="00D90DD4">
              <w:rPr>
                <w:i/>
                <w:color w:val="767171" w:themeColor="background2" w:themeShade="80"/>
                <w:sz w:val="20"/>
                <w:szCs w:val="20"/>
              </w:rPr>
              <w:t xml:space="preserve">Tarhini AA, Immunotherapy. 2013 Mar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
              <w:r>
                <w:rPr>
                  <w:sz w:val="20"/>
                  <w:rStyle w:val="Hyperlink"/>
                </w:rPr>
                <w:t xml:space="preserve">36327426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Durvalumab With or Without Tremelimumab in Combination With Chemotherapy as First-Line Therapy for Metastatic Non-Small-Cell Lung Cancer: The Phase III POSEIDON Study.</w:t>
            </w:r>
            <w:r>
              <w:rPr>
                <w:color w:val="404040" w:themeColor="text1" w:themeTint="BF"/>
                <w:sz w:val="20"/>
                <w:szCs w:val="20"/>
              </w:rPr>
              <w:t xml:space="preserve"> </w:t>
            </w:r>
            <w:r w:rsidRPr="00D90DD4">
              <w:rPr>
                <w:i/>
                <w:color w:val="767171" w:themeColor="background2" w:themeShade="80"/>
                <w:sz w:val="20"/>
                <w:szCs w:val="20"/>
              </w:rPr>
              <w:t xml:space="preserve">Johnson ML et al., J Clin Oncol. 2022 Nov 03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
              <w:r>
                <w:rPr>
                  <w:sz w:val="20"/>
                  <w:rStyle w:val="Hyperlink"/>
                </w:rPr>
                <w:t xml:space="preserve">33645367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Durvalumab: an investigational anti-PD-L1 antibody for the treatment of biliary tract cancer.</w:t>
            </w:r>
            <w:r>
              <w:rPr>
                <w:color w:val="404040" w:themeColor="text1" w:themeTint="BF"/>
                <w:sz w:val="20"/>
                <w:szCs w:val="20"/>
              </w:rPr>
              <w:t xml:space="preserve"> </w:t>
            </w:r>
            <w:r w:rsidRPr="00D90DD4">
              <w:rPr>
                <w:i/>
                <w:color w:val="767171" w:themeColor="background2" w:themeShade="80"/>
                <w:sz w:val="20"/>
                <w:szCs w:val="20"/>
              </w:rPr>
              <w:t xml:space="preserve">Rizzo A et al., Expert Opin Investig Drugs. 2021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
              <w:r>
                <w:rPr>
                  <w:sz w:val="20"/>
                  <w:rStyle w:val="Hyperlink"/>
                </w:rPr>
                <w:t xml:space="preserve">34731446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Durvalumab: A Review in Extensive-Stage SCLC.</w:t>
            </w:r>
            <w:r>
              <w:rPr>
                <w:color w:val="404040" w:themeColor="text1" w:themeTint="BF"/>
                <w:sz w:val="20"/>
                <w:szCs w:val="20"/>
              </w:rPr>
              <w:t xml:space="preserve"> </w:t>
            </w:r>
            <w:r w:rsidRPr="00D90DD4">
              <w:rPr>
                <w:i/>
                <w:color w:val="767171" w:themeColor="background2" w:themeShade="80"/>
                <w:sz w:val="20"/>
                <w:szCs w:val="20"/>
              </w:rPr>
              <w:t xml:space="preserve">Al-Salama ZT, Target Oncol. 2021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
              <w:r>
                <w:rPr>
                  <w:sz w:val="20"/>
                  <w:rStyle w:val="Hyperlink"/>
                </w:rPr>
                <w:t xml:space="preserve">27979383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versus docetaxel in patients with previously treated non-small-cell lung cancer (OAK): a phase 3, open-label, multicentre randomised controlled trial.</w:t>
            </w:r>
            <w:r>
              <w:rPr>
                <w:color w:val="404040" w:themeColor="text1" w:themeTint="BF"/>
                <w:sz w:val="20"/>
                <w:szCs w:val="20"/>
              </w:rPr>
              <w:t xml:space="preserve"> </w:t>
            </w:r>
            <w:r w:rsidRPr="00D90DD4">
              <w:rPr>
                <w:i/>
                <w:color w:val="767171" w:themeColor="background2" w:themeShade="80"/>
                <w:sz w:val="20"/>
                <w:szCs w:val="20"/>
              </w:rPr>
              <w:t xml:space="preserve">Rittmeyer A et al., Lancet. 2017 Jan 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
              <w:r>
                <w:rPr>
                  <w:sz w:val="20"/>
                  <w:rStyle w:val="Hyperlink"/>
                </w:rPr>
                <w:t xml:space="preserve">28885881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Durvalumab after Chemoradiotherapy in Stage III Non-Small-Cell Lung Cancer.</w:t>
            </w:r>
            <w:r>
              <w:rPr>
                <w:color w:val="404040" w:themeColor="text1" w:themeTint="BF"/>
                <w:sz w:val="20"/>
                <w:szCs w:val="20"/>
              </w:rPr>
              <w:t xml:space="preserve"> </w:t>
            </w:r>
            <w:r w:rsidRPr="00D90DD4">
              <w:rPr>
                <w:i/>
                <w:color w:val="767171" w:themeColor="background2" w:themeShade="80"/>
                <w:sz w:val="20"/>
                <w:szCs w:val="20"/>
              </w:rPr>
              <w:t xml:space="preserve">Antonia SJ et al., N Engl J Med. 2017 Nov 16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
              <w:r>
                <w:rPr>
                  <w:sz w:val="20"/>
                  <w:rStyle w:val="Hyperlink"/>
                </w:rPr>
                <w:t xml:space="preserve">30280658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Overall Survival with Durvalumab after Chemoradiotherapy in Stage III NSCLC.</w:t>
            </w:r>
            <w:r>
              <w:rPr>
                <w:color w:val="404040" w:themeColor="text1" w:themeTint="BF"/>
                <w:sz w:val="20"/>
                <w:szCs w:val="20"/>
              </w:rPr>
              <w:t xml:space="preserve"> </w:t>
            </w:r>
            <w:r w:rsidRPr="00D90DD4">
              <w:rPr>
                <w:i/>
                <w:color w:val="767171" w:themeColor="background2" w:themeShade="80"/>
                <w:sz w:val="20"/>
                <w:szCs w:val="20"/>
              </w:rPr>
              <w:t xml:space="preserve">Antonia SJ et al., N Engl J Med. 2018 Dec 13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
              <w:r>
                <w:rPr>
                  <w:sz w:val="20"/>
                  <w:rStyle w:val="Hyperlink"/>
                </w:rPr>
                <w:t xml:space="preserve">32209338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Outcomes with durvalumab by tumour PD-L1 expression in unresectable, stage III non-small-cell lung cancer in the PACIFIC trial.</w:t>
            </w:r>
            <w:r>
              <w:rPr>
                <w:color w:val="404040" w:themeColor="text1" w:themeTint="BF"/>
                <w:sz w:val="20"/>
                <w:szCs w:val="20"/>
              </w:rPr>
              <w:t xml:space="preserve"> </w:t>
            </w:r>
            <w:r w:rsidRPr="00D90DD4">
              <w:rPr>
                <w:i/>
                <w:color w:val="767171" w:themeColor="background2" w:themeShade="80"/>
                <w:sz w:val="20"/>
                <w:szCs w:val="20"/>
              </w:rPr>
              <w:t xml:space="preserve">Paz-Ares L et al., Ann Oncol. 2020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
              <w:r>
                <w:rPr>
                  <w:sz w:val="20"/>
                  <w:rStyle w:val="Hyperlink"/>
                </w:rPr>
                <w:t xml:space="preserve">33583206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Patient-reported outcomes with durvalumab by PD-L1 expression and prior chemoradiotherapy-related variables in unresectable stage III non-small-cell lung cancer.</w:t>
            </w:r>
            <w:r>
              <w:rPr>
                <w:color w:val="404040" w:themeColor="text1" w:themeTint="BF"/>
                <w:sz w:val="20"/>
                <w:szCs w:val="20"/>
              </w:rPr>
              <w:t xml:space="preserve"> </w:t>
            </w:r>
            <w:r w:rsidRPr="00D90DD4">
              <w:rPr>
                <w:i/>
                <w:color w:val="767171" w:themeColor="background2" w:themeShade="80"/>
                <w:sz w:val="20"/>
                <w:szCs w:val="20"/>
              </w:rPr>
              <w:t xml:space="preserve">Garassino MC et al., Future Oncol. 2021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
              <w:r>
                <w:rPr>
                  <w:sz w:val="20"/>
                  <w:rStyle w:val="Hyperlink"/>
                </w:rPr>
                <w:t xml:space="preserve">35403841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Neoadjuvant Nivolumab plus Chemotherapy in Resectable Lung Cancer.</w:t>
            </w:r>
            <w:r>
              <w:rPr>
                <w:color w:val="404040" w:themeColor="text1" w:themeTint="BF"/>
                <w:sz w:val="20"/>
                <w:szCs w:val="20"/>
              </w:rPr>
              <w:t xml:space="preserve"> </w:t>
            </w:r>
            <w:r w:rsidRPr="00D90DD4">
              <w:rPr>
                <w:i/>
                <w:color w:val="767171" w:themeColor="background2" w:themeShade="80"/>
                <w:sz w:val="20"/>
                <w:szCs w:val="20"/>
              </w:rPr>
              <w:t xml:space="preserve">Forde PM et al., N Engl J Med. 2022 May 26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
              <w:r>
                <w:rPr>
                  <w:sz w:val="20"/>
                  <w:rStyle w:val="Hyperlink"/>
                </w:rPr>
                <w:t xml:space="preserve">26028407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Nivolumab versus Docetaxel in Advanced Squamous-Cell Non-Small-Cell Lung Cancer.</w:t>
            </w:r>
            <w:r>
              <w:rPr>
                <w:color w:val="404040" w:themeColor="text1" w:themeTint="BF"/>
                <w:sz w:val="20"/>
                <w:szCs w:val="20"/>
              </w:rPr>
              <w:t xml:space="preserve"> </w:t>
            </w:r>
            <w:r w:rsidRPr="00D90DD4">
              <w:rPr>
                <w:i/>
                <w:color w:val="767171" w:themeColor="background2" w:themeShade="80"/>
                <w:sz w:val="20"/>
                <w:szCs w:val="20"/>
              </w:rPr>
              <w:t xml:space="preserve">Brahmer J et al., N Engl J Med. 2015 Jul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
              <w:r>
                <w:rPr>
                  <w:sz w:val="20"/>
                  <w:rStyle w:val="Hyperlink"/>
                </w:rPr>
                <w:t xml:space="preserve">26412456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Nivolumab versus Docetaxel in Advanced Nonsquamous Non-Small-Cell Lung Cancer.</w:t>
            </w:r>
            <w:r>
              <w:rPr>
                <w:color w:val="404040" w:themeColor="text1" w:themeTint="BF"/>
                <w:sz w:val="20"/>
                <w:szCs w:val="20"/>
              </w:rPr>
              <w:t xml:space="preserve"> </w:t>
            </w:r>
            <w:r w:rsidRPr="00D90DD4">
              <w:rPr>
                <w:i/>
                <w:color w:val="767171" w:themeColor="background2" w:themeShade="80"/>
                <w:sz w:val="20"/>
                <w:szCs w:val="20"/>
              </w:rPr>
              <w:t xml:space="preserve">Borghaei H et al., N Engl J Med. 2015 Oct 22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
              <w:r>
                <w:rPr>
                  <w:sz w:val="20"/>
                  <w:rStyle w:val="Hyperlink"/>
                </w:rPr>
                <w:t xml:space="preserve">29023213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Nivolumab Versus Docetaxel in Previously Treated Patients With Advanced Non-Small-Cell Lung Cancer: Two-Year Outcomes From Two Randomized, Open-Label, Phase III Trials (CheckMate 017 and CheckMate 057).</w:t>
            </w:r>
            <w:r>
              <w:rPr>
                <w:color w:val="404040" w:themeColor="text1" w:themeTint="BF"/>
                <w:sz w:val="20"/>
                <w:szCs w:val="20"/>
              </w:rPr>
              <w:t xml:space="preserve"> </w:t>
            </w:r>
            <w:r w:rsidRPr="00D90DD4">
              <w:rPr>
                <w:i/>
                <w:color w:val="767171" w:themeColor="background2" w:themeShade="80"/>
                <w:sz w:val="20"/>
                <w:szCs w:val="20"/>
              </w:rPr>
              <w:t xml:space="preserve">Horn L et al., J Clin Oncol. 2017 Dec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
              <w:r>
                <w:rPr>
                  <w:sz w:val="20"/>
                  <w:rStyle w:val="Hyperlink"/>
                </w:rPr>
                <w:t xml:space="preserve">33449799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Five-Year Outcomes From the Randomized, Phase III Trials CheckMate 017 and 057: Nivolumab Versus Docetaxel in Previously Treated Non-Small-Cell Lung Cancer.</w:t>
            </w:r>
            <w:r>
              <w:rPr>
                <w:color w:val="404040" w:themeColor="text1" w:themeTint="BF"/>
                <w:sz w:val="20"/>
                <w:szCs w:val="20"/>
              </w:rPr>
              <w:t xml:space="preserve"> </w:t>
            </w:r>
            <w:r w:rsidRPr="00D90DD4">
              <w:rPr>
                <w:i/>
                <w:color w:val="767171" w:themeColor="background2" w:themeShade="80"/>
                <w:sz w:val="20"/>
                <w:szCs w:val="20"/>
              </w:rPr>
              <w:t xml:space="preserve">Borghaei H et al., J Clin Oncol. 2021 Mar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
              <w:r>
                <w:rPr>
                  <w:sz w:val="20"/>
                  <w:rStyle w:val="Hyperlink"/>
                </w:rPr>
                <w:t xml:space="preserve">28878676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PD-1 and PD-L1 Checkpoint Signaling Inhibition for Cancer Immunotherapy: Mechanism, Combinations, and Clinical Outcome.</w:t>
            </w:r>
            <w:r>
              <w:rPr>
                <w:color w:val="404040" w:themeColor="text1" w:themeTint="BF"/>
                <w:sz w:val="20"/>
                <w:szCs w:val="20"/>
              </w:rPr>
              <w:t xml:space="preserve"> </w:t>
            </w:r>
            <w:r w:rsidRPr="00D90DD4">
              <w:rPr>
                <w:i/>
                <w:color w:val="767171" w:themeColor="background2" w:themeShade="80"/>
                <w:sz w:val="20"/>
                <w:szCs w:val="20"/>
              </w:rPr>
              <w:t xml:space="preserve">Alsaab HO et al., Front Pharmacol. 2017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
              <w:r>
                <w:rPr>
                  <w:sz w:val="20"/>
                  <w:rStyle w:val="Hyperlink"/>
                </w:rPr>
                <w:t xml:space="preserve">23718298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a novel antiangiogenic agent.</w:t>
            </w:r>
            <w:r>
              <w:rPr>
                <w:color w:val="404040" w:themeColor="text1" w:themeTint="BF"/>
                <w:sz w:val="20"/>
                <w:szCs w:val="20"/>
              </w:rPr>
              <w:t xml:space="preserve"> </w:t>
            </w:r>
            <w:r w:rsidRPr="00D90DD4">
              <w:rPr>
                <w:i/>
                <w:color w:val="767171" w:themeColor="background2" w:themeShade="80"/>
                <w:sz w:val="20"/>
                <w:szCs w:val="20"/>
              </w:rPr>
              <w:t xml:space="preserve">Wadhwa R et al., Future Oncol. 2013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
              <w:r>
                <w:rPr>
                  <w:sz w:val="20"/>
                  <w:rStyle w:val="Hyperlink"/>
                </w:rPr>
                <w:t xml:space="preserve">30314524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Targeting VEGFR2 with Ramucirumab strongly impacts effector/ activated regulatory T cells and CD8T cells in the tumor microenvironment.</w:t>
            </w:r>
            <w:r>
              <w:rPr>
                <w:color w:val="404040" w:themeColor="text1" w:themeTint="BF"/>
                <w:sz w:val="20"/>
                <w:szCs w:val="20"/>
              </w:rPr>
              <w:t xml:space="preserve"> </w:t>
            </w:r>
            <w:r w:rsidRPr="00D90DD4">
              <w:rPr>
                <w:i/>
                <w:color w:val="767171" w:themeColor="background2" w:themeShade="80"/>
                <w:sz w:val="20"/>
                <w:szCs w:val="20"/>
              </w:rPr>
              <w:t xml:space="preserve">Tada Y et al., J Immunother Cancer. 2018 Oct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
              <w:r>
                <w:rPr>
                  <w:sz w:val="20"/>
                  <w:rStyle w:val="Hyperlink"/>
                </w:rPr>
                <w:t xml:space="preserve">27306885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Evolution of ramucirumab in the treatment of cancer - A review of literature.</w:t>
            </w:r>
            <w:r>
              <w:rPr>
                <w:color w:val="404040" w:themeColor="text1" w:themeTint="BF"/>
                <w:sz w:val="20"/>
                <w:szCs w:val="20"/>
              </w:rPr>
              <w:t xml:space="preserve"> </w:t>
            </w:r>
            <w:r w:rsidRPr="00D90DD4">
              <w:rPr>
                <w:i/>
                <w:color w:val="767171" w:themeColor="background2" w:themeShade="80"/>
                <w:sz w:val="20"/>
                <w:szCs w:val="20"/>
              </w:rPr>
              <w:t xml:space="preserve">Vennepureddy A et al., J Oncol Pharm Pract. 2017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
              <w:r>
                <w:rPr>
                  <w:sz w:val="20"/>
                  <w:rStyle w:val="Hyperlink"/>
                </w:rPr>
                <w:t xml:space="preserve">29191593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Outcomes in patients with aggressive or refractory disease from REVEL: A randomized phase III study of docetaxel with ramucirumab or placebo for second-line treatment of stage IV non-small-cell lung cancer.</w:t>
            </w:r>
            <w:r>
              <w:rPr>
                <w:color w:val="404040" w:themeColor="text1" w:themeTint="BF"/>
                <w:sz w:val="20"/>
                <w:szCs w:val="20"/>
              </w:rPr>
              <w:t xml:space="preserve"> </w:t>
            </w:r>
            <w:r w:rsidRPr="00D90DD4">
              <w:rPr>
                <w:i/>
                <w:color w:val="767171" w:themeColor="background2" w:themeShade="80"/>
                <w:sz w:val="20"/>
                <w:szCs w:val="20"/>
              </w:rPr>
              <w:t xml:space="preserve">Reck M et al., Lung Cancer. 2017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
              <w:r>
                <w:rPr>
                  <w:sz w:val="20"/>
                  <w:rStyle w:val="Hyperlink"/>
                </w:rPr>
                <w:t xml:space="preserve">24933332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plus docetaxel versus placebo plus docetaxel for second-line treatment of stage IV non-small-cell lung cancer after disease progression on platinum-based therapy (REVEL): a multicentre, double-blind, randomised phase 3 trial.</w:t>
            </w:r>
            <w:r>
              <w:rPr>
                <w:color w:val="404040" w:themeColor="text1" w:themeTint="BF"/>
                <w:sz w:val="20"/>
                <w:szCs w:val="20"/>
              </w:rPr>
              <w:t xml:space="preserve"> </w:t>
            </w:r>
            <w:r w:rsidRPr="00D90DD4">
              <w:rPr>
                <w:i/>
                <w:color w:val="767171" w:themeColor="background2" w:themeShade="80"/>
                <w:sz w:val="20"/>
                <w:szCs w:val="20"/>
              </w:rPr>
              <w:t xml:space="preserve">Garon EB et al., Lancet. 2014 Aug 23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
              <w:r>
                <w:rPr>
                  <w:sz w:val="20"/>
                  <w:rStyle w:val="Hyperlink"/>
                </w:rPr>
                <w:t xml:space="preserve">23419196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VEGF signaling pathway in cancer: the road ahead.</w:t>
            </w:r>
            <w:r>
              <w:rPr>
                <w:color w:val="404040" w:themeColor="text1" w:themeTint="BF"/>
                <w:sz w:val="20"/>
                <w:szCs w:val="20"/>
              </w:rPr>
              <w:t xml:space="preserve"> </w:t>
            </w:r>
            <w:r w:rsidRPr="00D90DD4">
              <w:rPr>
                <w:i/>
                <w:color w:val="767171" w:themeColor="background2" w:themeShade="80"/>
                <w:sz w:val="20"/>
                <w:szCs w:val="20"/>
              </w:rPr>
              <w:t xml:space="preserve">Stacker SA et al., Chin J Cancer. 2013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
              <w:r>
                <w:rPr>
                  <w:sz w:val="20"/>
                  <w:rStyle w:val="Hyperlink"/>
                </w:rPr>
                <w:t xml:space="preserve">20688807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w:t>
            </w:r>
            <w:r>
              <w:rPr>
                <w:color w:val="404040" w:themeColor="text1" w:themeTint="BF"/>
                <w:sz w:val="20"/>
                <w:szCs w:val="20"/>
              </w:rPr>
              <w:t xml:space="preserve"> </w:t>
            </w:r>
            <w:r w:rsidRPr="00D90DD4">
              <w:rPr>
                <w:i/>
                <w:color w:val="767171" w:themeColor="background2" w:themeShade="80"/>
                <w:sz w:val="20"/>
                <w:szCs w:val="20"/>
              </w:rPr>
              <w:t xml:space="preserve">Kazazi-Hyseni F et al., Oncologist. 2010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1">
              <w:r>
                <w:rPr>
                  <w:sz w:val="20"/>
                  <w:rStyle w:val="Hyperlink"/>
                </w:rPr>
                <w:t xml:space="preserve">32335505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(Avastin®) in cancer treatment: A review of 15 years of clinical experience and future outlook.</w:t>
            </w:r>
            <w:r>
              <w:rPr>
                <w:color w:val="404040" w:themeColor="text1" w:themeTint="BF"/>
                <w:sz w:val="20"/>
                <w:szCs w:val="20"/>
              </w:rPr>
              <w:t xml:space="preserve"> </w:t>
            </w:r>
            <w:r w:rsidRPr="00D90DD4">
              <w:rPr>
                <w:i/>
                <w:color w:val="767171" w:themeColor="background2" w:themeShade="80"/>
                <w:sz w:val="20"/>
                <w:szCs w:val="20"/>
              </w:rPr>
              <w:t xml:space="preserve">Garcia J et al., Cancer Treat Rev. 2020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2">
              <w:r>
                <w:rPr>
                  <w:sz w:val="20"/>
                  <w:rStyle w:val="Hyperlink"/>
                </w:rPr>
                <w:t xml:space="preserve">17167137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Paclitaxel-carboplatin alone or with bevacizumab for non-small-cell lung cancer.</w:t>
            </w:r>
            <w:r>
              <w:rPr>
                <w:color w:val="404040" w:themeColor="text1" w:themeTint="BF"/>
                <w:sz w:val="20"/>
                <w:szCs w:val="20"/>
              </w:rPr>
              <w:t xml:space="preserve"> </w:t>
            </w:r>
            <w:r w:rsidRPr="00D90DD4">
              <w:rPr>
                <w:i/>
                <w:color w:val="767171" w:themeColor="background2" w:themeShade="80"/>
                <w:sz w:val="20"/>
                <w:szCs w:val="20"/>
              </w:rPr>
              <w:t xml:space="preserve">Sandler A et al., N Engl J Med. 2006 Dec 14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3">
              <w:r>
                <w:rPr>
                  <w:sz w:val="20"/>
                  <w:rStyle w:val="Hyperlink"/>
                </w:rPr>
                <w:t xml:space="preserve">17602060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drug approval summary: bevacizumab (Avastin) plus Carboplatin and Paclitaxel as first-line treatment of advanced/metastatic recurrent nonsquamous non-small cell lung cancer.</w:t>
            </w:r>
            <w:r>
              <w:rPr>
                <w:color w:val="404040" w:themeColor="text1" w:themeTint="BF"/>
                <w:sz w:val="20"/>
                <w:szCs w:val="20"/>
              </w:rPr>
              <w:t xml:space="preserve"> </w:t>
            </w:r>
            <w:r w:rsidRPr="00D90DD4">
              <w:rPr>
                <w:i/>
                <w:color w:val="767171" w:themeColor="background2" w:themeShade="80"/>
                <w:sz w:val="20"/>
                <w:szCs w:val="20"/>
              </w:rPr>
              <w:t xml:space="preserve">Cohen MH et al., Oncologist. 2007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4">
              <w:r>
                <w:rPr>
                  <w:sz w:val="20"/>
                  <w:rStyle w:val="Hyperlink"/>
                </w:rPr>
                <w:t xml:space="preserve">33725344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Review of Monoclonal Antibody-Based Treatments in Non-small Cell Lung Cancer.</w:t>
            </w:r>
            <w:r>
              <w:rPr>
                <w:color w:val="404040" w:themeColor="text1" w:themeTint="BF"/>
                <w:sz w:val="20"/>
                <w:szCs w:val="20"/>
              </w:rPr>
              <w:t xml:space="preserve"> </w:t>
            </w:r>
            <w:r w:rsidRPr="00D90DD4">
              <w:rPr>
                <w:i/>
                <w:color w:val="767171" w:themeColor="background2" w:themeShade="80"/>
                <w:sz w:val="20"/>
                <w:szCs w:val="20"/>
              </w:rPr>
              <w:t xml:space="preserve">Panahi Y et al., Adv Exp Med Biol.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5">
              <w:r>
                <w:rPr>
                  <w:sz w:val="20"/>
                  <w:rStyle w:val="Hyperlink"/>
                </w:rPr>
                <w:t xml:space="preserve">20150572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Overall survival with cisplatin-gemcitabine and bevacizumab or placebo as first-line therapy for nonsquamous non-small-cell lung cancer: results from a randomised phase III trial (AVAiL).</w:t>
            </w:r>
            <w:r>
              <w:rPr>
                <w:color w:val="404040" w:themeColor="text1" w:themeTint="BF"/>
                <w:sz w:val="20"/>
                <w:szCs w:val="20"/>
              </w:rPr>
              <w:t xml:space="preserve"> </w:t>
            </w:r>
            <w:r w:rsidRPr="00D90DD4">
              <w:rPr>
                <w:i/>
                <w:color w:val="767171" w:themeColor="background2" w:themeShade="80"/>
                <w:sz w:val="20"/>
                <w:szCs w:val="20"/>
              </w:rPr>
              <w:t xml:space="preserve">Reck M et al., Ann Oncol. 2010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6">
              <w:r>
                <w:rPr>
                  <w:sz w:val="20"/>
                  <w:rStyle w:val="Hyperlink"/>
                </w:rPr>
                <w:t xml:space="preserve">30392436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Afatinib and Erlotinib in the treatment of squamous-cell lung cancer.</w:t>
            </w:r>
            <w:r>
              <w:rPr>
                <w:color w:val="404040" w:themeColor="text1" w:themeTint="BF"/>
                <w:sz w:val="20"/>
                <w:szCs w:val="20"/>
              </w:rPr>
              <w:t xml:space="preserve"> </w:t>
            </w:r>
            <w:r w:rsidRPr="00D90DD4">
              <w:rPr>
                <w:i/>
                <w:color w:val="767171" w:themeColor="background2" w:themeShade="80"/>
                <w:sz w:val="20"/>
                <w:szCs w:val="20"/>
              </w:rPr>
              <w:t xml:space="preserve">Tagliamento M et al., Expert Opin Pharmacother. 2018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7">
              <w:r>
                <w:rPr>
                  <w:sz w:val="20"/>
                  <w:rStyle w:val="Hyperlink"/>
                </w:rPr>
                <w:t xml:space="preserve">29902295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Association of ERBB Mutations With Clinical Outcomes of Afatinib- or Erlotinib-Treated Patients With Lung Squamous Cell Carcinoma: Secondary Analysis of the LUX-Lung 8 Randomized Clinical Trial.</w:t>
            </w:r>
            <w:r>
              <w:rPr>
                <w:color w:val="404040" w:themeColor="text1" w:themeTint="BF"/>
                <w:sz w:val="20"/>
                <w:szCs w:val="20"/>
              </w:rPr>
              <w:t xml:space="preserve"> </w:t>
            </w:r>
            <w:r w:rsidRPr="00D90DD4">
              <w:rPr>
                <w:i/>
                <w:color w:val="767171" w:themeColor="background2" w:themeShade="80"/>
                <w:sz w:val="20"/>
                <w:szCs w:val="20"/>
              </w:rPr>
              <w:t xml:space="preserve">Goss GD et al., JAMA Oncol. 2018 Sep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8">
              <w:r>
                <w:rPr>
                  <w:sz w:val="20"/>
                  <w:rStyle w:val="Hyperlink"/>
                </w:rPr>
                <w:t xml:space="preserve">26156651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Afatinib versus erlotinib as second-line treatment of patients with advanced squamous cell carcinoma of the lung (LUX-Lung 8): an open-label randomised controlled phase 3 trial.</w:t>
            </w:r>
            <w:r>
              <w:rPr>
                <w:color w:val="404040" w:themeColor="text1" w:themeTint="BF"/>
                <w:sz w:val="20"/>
                <w:szCs w:val="20"/>
              </w:rPr>
              <w:t xml:space="preserve"> </w:t>
            </w:r>
            <w:r w:rsidRPr="00D90DD4">
              <w:rPr>
                <w:i/>
                <w:color w:val="767171" w:themeColor="background2" w:themeShade="80"/>
                <w:sz w:val="20"/>
                <w:szCs w:val="20"/>
              </w:rPr>
              <w:t xml:space="preserve">Soria JC et al., Lancet Oncol. 2015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9">
              <w:r>
                <w:rPr>
                  <w:sz w:val="20"/>
                  <w:rStyle w:val="Hyperlink"/>
                </w:rPr>
                <w:t xml:space="preserve">33061419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Advanced Squamous Cell Carcinoma of the Lung: Current Treatment Approaches and the Role of Afatinib.</w:t>
            </w:r>
            <w:r>
              <w:rPr>
                <w:color w:val="404040" w:themeColor="text1" w:themeTint="BF"/>
                <w:sz w:val="20"/>
                <w:szCs w:val="20"/>
              </w:rPr>
              <w:t xml:space="preserve"> </w:t>
            </w:r>
            <w:r w:rsidRPr="00D90DD4">
              <w:rPr>
                <w:i/>
                <w:color w:val="767171" w:themeColor="background2" w:themeShade="80"/>
                <w:sz w:val="20"/>
                <w:szCs w:val="20"/>
              </w:rPr>
              <w:t xml:space="preserve">Santos ES et al., Onco Targets Ther. 2020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0">
              <w:r>
                <w:rPr>
                  <w:sz w:val="20"/>
                  <w:rStyle w:val="Hyperlink"/>
                </w:rPr>
                <w:t xml:space="preserve">31432705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Pembrolizumab in lung cancer: current evidence and future perspectives.</w:t>
            </w:r>
            <w:r>
              <w:rPr>
                <w:color w:val="404040" w:themeColor="text1" w:themeTint="BF"/>
                <w:sz w:val="20"/>
                <w:szCs w:val="20"/>
              </w:rPr>
              <w:t xml:space="preserve"> </w:t>
            </w:r>
            <w:r w:rsidRPr="00D90DD4">
              <w:rPr>
                <w:i/>
                <w:color w:val="767171" w:themeColor="background2" w:themeShade="80"/>
                <w:sz w:val="20"/>
                <w:szCs w:val="20"/>
              </w:rPr>
              <w:t xml:space="preserve">Palumbo G et al., Future Oncol. 2019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1">
              <w:r>
                <w:rPr>
                  <w:sz w:val="20"/>
                  <w:rStyle w:val="Hyperlink"/>
                </w:rPr>
                <w:t xml:space="preserve">30280635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Pembrolizumab plus Chemotherapy for Squamous Non-Small-Cell Lung Cancer.</w:t>
            </w:r>
            <w:r>
              <w:rPr>
                <w:color w:val="404040" w:themeColor="text1" w:themeTint="BF"/>
                <w:sz w:val="20"/>
                <w:szCs w:val="20"/>
              </w:rPr>
              <w:t xml:space="preserve"> </w:t>
            </w:r>
            <w:r w:rsidRPr="00D90DD4">
              <w:rPr>
                <w:i/>
                <w:color w:val="767171" w:themeColor="background2" w:themeShade="80"/>
                <w:sz w:val="20"/>
                <w:szCs w:val="20"/>
              </w:rPr>
              <w:t xml:space="preserve">Paz-Ares L et al., N Engl J Med. 2018 Nov 22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2">
              <w:r>
                <w:rPr>
                  <w:sz w:val="20"/>
                  <w:rStyle w:val="Hyperlink"/>
                </w:rPr>
                <w:t xml:space="preserve">31751163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Health-Related Quality of Life With Carboplatin-Paclitaxel or nab-Paclitaxel With or Without Pembrolizumab in Patients With Metastatic Squamous Non-Small-Cell Lung Cancer.</w:t>
            </w:r>
            <w:r>
              <w:rPr>
                <w:color w:val="404040" w:themeColor="text1" w:themeTint="BF"/>
                <w:sz w:val="20"/>
                <w:szCs w:val="20"/>
              </w:rPr>
              <w:t xml:space="preserve"> </w:t>
            </w:r>
            <w:r w:rsidRPr="00D90DD4">
              <w:rPr>
                <w:i/>
                <w:color w:val="767171" w:themeColor="background2" w:themeShade="80"/>
                <w:sz w:val="20"/>
                <w:szCs w:val="20"/>
              </w:rPr>
              <w:t xml:space="preserve">Mazieres J et al., J Clin Oncol. 2020 Jan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3">
              <w:r>
                <w:rPr>
                  <w:sz w:val="20"/>
                  <w:rStyle w:val="Hyperlink"/>
                </w:rPr>
                <w:t xml:space="preserve">18275813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Structural basis for EGF receptor inhibition by the therapeutic antibody IMC-11F8.</w:t>
            </w:r>
            <w:r>
              <w:rPr>
                <w:color w:val="404040" w:themeColor="text1" w:themeTint="BF"/>
                <w:sz w:val="20"/>
                <w:szCs w:val="20"/>
              </w:rPr>
              <w:t xml:space="preserve"> </w:t>
            </w:r>
            <w:r w:rsidRPr="00D90DD4">
              <w:rPr>
                <w:i/>
                <w:color w:val="767171" w:themeColor="background2" w:themeShade="80"/>
                <w:sz w:val="20"/>
                <w:szCs w:val="20"/>
              </w:rPr>
              <w:t xml:space="preserve">Li S et al., Structure. 2008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4">
              <w:r>
                <w:rPr>
                  <w:sz w:val="20"/>
                  <w:rStyle w:val="Hyperlink"/>
                </w:rPr>
                <w:t xml:space="preserve">30025476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Necitumumab: a new option for first-line treatment of squamous cell lung cancer.</w:t>
            </w:r>
            <w:r>
              <w:rPr>
                <w:color w:val="404040" w:themeColor="text1" w:themeTint="BF"/>
                <w:sz w:val="20"/>
                <w:szCs w:val="20"/>
              </w:rPr>
              <w:t xml:space="preserve"> </w:t>
            </w:r>
            <w:r w:rsidRPr="00D90DD4">
              <w:rPr>
                <w:i/>
                <w:color w:val="767171" w:themeColor="background2" w:themeShade="80"/>
                <w:sz w:val="20"/>
                <w:szCs w:val="20"/>
              </w:rPr>
              <w:t xml:space="preserve">Jiménez Aguilar E et al., Expert Opin Drug Metab Toxicol. 2018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5">
              <w:r>
                <w:rPr>
                  <w:sz w:val="20"/>
                  <w:rStyle w:val="Hyperlink"/>
                </w:rPr>
                <w:t xml:space="preserve">26045340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Necitumumab plus gemcitabine and cisplatin versus gemcitabine and cisplatin alone as first-line therapy in patients with stage IV squamous non-small-cell lung cancer (SQUIRE): an open-label, randomised, controlled phase 3 trial.</w:t>
            </w:r>
            <w:r>
              <w:rPr>
                <w:color w:val="404040" w:themeColor="text1" w:themeTint="BF"/>
                <w:sz w:val="20"/>
                <w:szCs w:val="20"/>
              </w:rPr>
              <w:t xml:space="preserve"> </w:t>
            </w:r>
            <w:r w:rsidRPr="00D90DD4">
              <w:rPr>
                <w:i/>
                <w:color w:val="767171" w:themeColor="background2" w:themeShade="80"/>
                <w:sz w:val="20"/>
                <w:szCs w:val="20"/>
              </w:rPr>
              <w:t xml:space="preserve">Thatcher N et al., Lancet Oncol. 2015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6">
              <w:r>
                <w:rPr>
                  <w:sz w:val="20"/>
                  <w:rStyle w:val="Hyperlink"/>
                </w:rPr>
                <w:t xml:space="preserve">26980471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Effect of Necitumumab in Combination with Gemcitabine plus Cisplatin on Tolerability and on Quality of Life: Results from the Phase 3 SQUIRE Trial.</w:t>
            </w:r>
            <w:r>
              <w:rPr>
                <w:color w:val="404040" w:themeColor="text1" w:themeTint="BF"/>
                <w:sz w:val="20"/>
                <w:szCs w:val="20"/>
              </w:rPr>
              <w:t xml:space="preserve"> </w:t>
            </w:r>
            <w:r w:rsidRPr="00D90DD4">
              <w:rPr>
                <w:i/>
                <w:color w:val="767171" w:themeColor="background2" w:themeShade="80"/>
                <w:sz w:val="20"/>
                <w:szCs w:val="20"/>
              </w:rPr>
              <w:t xml:space="preserve">Reck M et al., J Thorac Oncol. 2016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7">
              <w:r>
                <w:rPr>
                  <w:sz w:val="20"/>
                  <w:rStyle w:val="Hyperlink"/>
                </w:rPr>
                <w:t xml:space="preserve">26301799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BRAF Alterations as Therapeutic Targets in Non-Small-Cell Lung Cancer.</w:t>
            </w:r>
            <w:r>
              <w:rPr>
                <w:color w:val="404040" w:themeColor="text1" w:themeTint="BF"/>
                <w:sz w:val="20"/>
                <w:szCs w:val="20"/>
              </w:rPr>
              <w:t xml:space="preserve"> </w:t>
            </w:r>
            <w:r w:rsidRPr="00D90DD4">
              <w:rPr>
                <w:i/>
                <w:color w:val="767171" w:themeColor="background2" w:themeShade="80"/>
                <w:sz w:val="20"/>
                <w:szCs w:val="20"/>
              </w:rPr>
              <w:t xml:space="preserve">Nguyen-Ngoc T et al., J Thorac Oncol. 2015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8">
              <w:r>
                <w:rPr>
                  <w:sz w:val="20"/>
                  <w:rStyle w:val="Hyperlink"/>
                </w:rPr>
                <w:t xml:space="preserve">15035987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Mechanism of activation of the RAF-ERK signaling pathway by oncogenic mutations of B-RAF.</w:t>
            </w:r>
            <w:r>
              <w:rPr>
                <w:color w:val="404040" w:themeColor="text1" w:themeTint="BF"/>
                <w:sz w:val="20"/>
                <w:szCs w:val="20"/>
              </w:rPr>
              <w:t xml:space="preserve"> </w:t>
            </w:r>
            <w:r w:rsidRPr="00D90DD4">
              <w:rPr>
                <w:i/>
                <w:color w:val="767171" w:themeColor="background2" w:themeShade="80"/>
                <w:sz w:val="20"/>
                <w:szCs w:val="20"/>
              </w:rPr>
              <w:t xml:space="preserve">Wan PT et al., Cell. 2004 Mar 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9">
              <w:r>
                <w:rPr>
                  <w:sz w:val="20"/>
                  <w:rStyle w:val="Hyperlink"/>
                </w:rPr>
                <w:t xml:space="preserve">15488754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Guilty as charged: B-RAF is a human oncogene.</w:t>
            </w:r>
            <w:r>
              <w:rPr>
                <w:color w:val="404040" w:themeColor="text1" w:themeTint="BF"/>
                <w:sz w:val="20"/>
                <w:szCs w:val="20"/>
              </w:rPr>
              <w:t xml:space="preserve"> </w:t>
            </w:r>
            <w:r w:rsidRPr="00D90DD4">
              <w:rPr>
                <w:i/>
                <w:color w:val="767171" w:themeColor="background2" w:themeShade="80"/>
                <w:sz w:val="20"/>
                <w:szCs w:val="20"/>
              </w:rPr>
              <w:t xml:space="preserve">Garnett MJ et al., Cancer Cell. 2004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0">
              <w:r>
                <w:rPr>
                  <w:sz w:val="20"/>
                  <w:rStyle w:val="Hyperlink"/>
                </w:rPr>
                <w:t xml:space="preserve">25435214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Targeting RAS-ERK signalling in cancer: promises and challenges.</w:t>
            </w:r>
            <w:r>
              <w:rPr>
                <w:color w:val="404040" w:themeColor="text1" w:themeTint="BF"/>
                <w:sz w:val="20"/>
                <w:szCs w:val="20"/>
              </w:rPr>
              <w:t xml:space="preserve"> </w:t>
            </w:r>
            <w:r w:rsidRPr="00D90DD4">
              <w:rPr>
                <w:i/>
                <w:color w:val="767171" w:themeColor="background2" w:themeShade="80"/>
                <w:sz w:val="20"/>
                <w:szCs w:val="20"/>
              </w:rPr>
              <w:t xml:space="preserve">Samatar AA et al., Nat Rev Drug Discov. 2014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1">
              <w:r>
                <w:rPr>
                  <w:sz w:val="20"/>
                  <w:rStyle w:val="Hyperlink"/>
                </w:rPr>
                <w:t xml:space="preserve">30899313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Agents to treatmutant lung cancer.</w:t>
            </w:r>
            <w:r>
              <w:rPr>
                <w:color w:val="404040" w:themeColor="text1" w:themeTint="BF"/>
                <w:sz w:val="20"/>
                <w:szCs w:val="20"/>
              </w:rPr>
              <w:t xml:space="preserve"> </w:t>
            </w:r>
            <w:r w:rsidRPr="00D90DD4">
              <w:rPr>
                <w:i/>
                <w:color w:val="767171" w:themeColor="background2" w:themeShade="80"/>
                <w:sz w:val="20"/>
                <w:szCs w:val="20"/>
              </w:rPr>
              <w:t xml:space="preserve">Alvarez JGB et al., Drugs Context. 2019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2">
              <w:r>
                <w:rPr>
                  <w:sz w:val="20"/>
                  <w:rStyle w:val="Hyperlink"/>
                </w:rPr>
                <w:t xml:space="preserve">29540830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Classifying BRAF alterations in cancer: new rational therapeutic strategies for actionable mutations.</w:t>
            </w:r>
            <w:r>
              <w:rPr>
                <w:color w:val="404040" w:themeColor="text1" w:themeTint="BF"/>
                <w:sz w:val="20"/>
                <w:szCs w:val="20"/>
              </w:rPr>
              <w:t xml:space="preserve"> </w:t>
            </w:r>
            <w:r w:rsidRPr="00D90DD4">
              <w:rPr>
                <w:i/>
                <w:color w:val="767171" w:themeColor="background2" w:themeShade="80"/>
                <w:sz w:val="20"/>
                <w:szCs w:val="20"/>
              </w:rPr>
              <w:t xml:space="preserve">Dankner M et al., Oncogene. 2018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3">
              <w:r>
                <w:rPr>
                  <w:sz w:val="20"/>
                  <w:rStyle w:val="Hyperlink"/>
                </w:rPr>
                <w:t xml:space="preserve">29438093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Dabrafenib and Trametinib for the Treatment of Metastatic Non-Small Cell Lung Cancers Harboring BRAF V600E Mutations.</w:t>
            </w:r>
            <w:r>
              <w:rPr>
                <w:color w:val="404040" w:themeColor="text1" w:themeTint="BF"/>
                <w:sz w:val="20"/>
                <w:szCs w:val="20"/>
              </w:rPr>
              <w:t xml:space="preserve"> </w:t>
            </w:r>
            <w:r w:rsidRPr="00D90DD4">
              <w:rPr>
                <w:i/>
                <w:color w:val="767171" w:themeColor="background2" w:themeShade="80"/>
                <w:sz w:val="20"/>
                <w:szCs w:val="20"/>
              </w:rPr>
              <w:t xml:space="preserve">Odogwu L et al., Oncologist. 2018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4">
              <w:r>
                <w:rPr>
                  <w:sz w:val="20"/>
                  <w:rStyle w:val="Hyperlink"/>
                </w:rPr>
                <w:t xml:space="preserve">12068308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Mutations of the BRAF gene in human cancer.</w:t>
            </w:r>
            <w:r>
              <w:rPr>
                <w:color w:val="404040" w:themeColor="text1" w:themeTint="BF"/>
                <w:sz w:val="20"/>
                <w:szCs w:val="20"/>
              </w:rPr>
              <w:t xml:space="preserve"> </w:t>
            </w:r>
            <w:r w:rsidRPr="00D90DD4">
              <w:rPr>
                <w:i/>
                <w:color w:val="767171" w:themeColor="background2" w:themeShade="80"/>
                <w:sz w:val="20"/>
                <w:szCs w:val="20"/>
              </w:rPr>
              <w:t xml:space="preserve">Davies H et al., Nature. 2002 Jun 27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5">
              <w:r>
                <w:rPr>
                  <w:sz w:val="20"/>
                  <w:rStyle w:val="Hyperlink"/>
                </w:rPr>
                <w:t xml:space="preserve">23833300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Clinical, pathologic, and biologic features associated with BRAF mutations in non-small cell lung cancer.</w:t>
            </w:r>
            <w:r>
              <w:rPr>
                <w:color w:val="404040" w:themeColor="text1" w:themeTint="BF"/>
                <w:sz w:val="20"/>
                <w:szCs w:val="20"/>
              </w:rPr>
              <w:t xml:space="preserve"> </w:t>
            </w:r>
            <w:r w:rsidRPr="00D90DD4">
              <w:rPr>
                <w:i/>
                <w:color w:val="767171" w:themeColor="background2" w:themeShade="80"/>
                <w:sz w:val="20"/>
                <w:szCs w:val="20"/>
              </w:rPr>
              <w:t xml:space="preserve">Cardarella S et al., Clin Cancer Res. 2013 Aug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6">
              <w:r>
                <w:rPr>
                  <w:sz w:val="20"/>
                  <w:rStyle w:val="Hyperlink"/>
                </w:rPr>
                <w:t xml:space="preserve">24552757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BRAF-mutations in non-small cell lung cancer.</w:t>
            </w:r>
            <w:r>
              <w:rPr>
                <w:color w:val="404040" w:themeColor="text1" w:themeTint="BF"/>
                <w:sz w:val="20"/>
                <w:szCs w:val="20"/>
              </w:rPr>
              <w:t xml:space="preserve"> </w:t>
            </w:r>
            <w:r w:rsidRPr="00D90DD4">
              <w:rPr>
                <w:i/>
                <w:color w:val="767171" w:themeColor="background2" w:themeShade="80"/>
                <w:sz w:val="20"/>
                <w:szCs w:val="20"/>
              </w:rPr>
              <w:t xml:space="preserve">Brustugun OT et al., Lung Cancer. 2014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7">
              <w:r>
                <w:rPr>
                  <w:sz w:val="20"/>
                  <w:rStyle w:val="Hyperlink"/>
                </w:rPr>
                <w:t xml:space="preserve">25273224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Clinicopathologic features and outcomes of patients with lung adenocarcinomas harboring BRAF mutations in the Lung Cancer Mutation Consortium.</w:t>
            </w:r>
            <w:r>
              <w:rPr>
                <w:color w:val="404040" w:themeColor="text1" w:themeTint="BF"/>
                <w:sz w:val="20"/>
                <w:szCs w:val="20"/>
              </w:rPr>
              <w:t xml:space="preserve"> </w:t>
            </w:r>
            <w:r w:rsidRPr="00D90DD4">
              <w:rPr>
                <w:i/>
                <w:color w:val="767171" w:themeColor="background2" w:themeShade="80"/>
                <w:sz w:val="20"/>
                <w:szCs w:val="20"/>
              </w:rPr>
              <w:t xml:space="preserve">Villaruz LC et al., Cancer. 2015 Feb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8">
              <w:r>
                <w:rPr>
                  <w:sz w:val="20"/>
                  <w:rStyle w:val="Hyperlink"/>
                </w:rPr>
                <w:t xml:space="preserve">30464690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Patients with non-small-cell lung cancer harbouring a BRAF mutation: a multicentre study exploring clinical characteristics, management, and outcomes in a real-life setting: EXPLORE GFPC 02-14.</w:t>
            </w:r>
            <w:r>
              <w:rPr>
                <w:color w:val="404040" w:themeColor="text1" w:themeTint="BF"/>
                <w:sz w:val="20"/>
                <w:szCs w:val="20"/>
              </w:rPr>
              <w:t xml:space="preserve"> </w:t>
            </w:r>
            <w:r w:rsidRPr="00D90DD4">
              <w:rPr>
                <w:i/>
                <w:color w:val="767171" w:themeColor="background2" w:themeShade="80"/>
                <w:sz w:val="20"/>
                <w:szCs w:val="20"/>
              </w:rPr>
              <w:t xml:space="preserve">Auliac JB et al., Curr Oncol. 2018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9">
              <w:r>
                <w:rPr>
                  <w:sz w:val="20"/>
                  <w:rStyle w:val="Hyperlink"/>
                </w:rPr>
                <w:t xml:space="preserve">21825258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Clinical features and outcome of patients with non-small-cell lung cancer harboring BRAF mutations.</w:t>
            </w:r>
            <w:r>
              <w:rPr>
                <w:color w:val="404040" w:themeColor="text1" w:themeTint="BF"/>
                <w:sz w:val="20"/>
                <w:szCs w:val="20"/>
              </w:rPr>
              <w:t xml:space="preserve"> </w:t>
            </w:r>
            <w:r w:rsidRPr="00D90DD4">
              <w:rPr>
                <w:i/>
                <w:color w:val="767171" w:themeColor="background2" w:themeShade="80"/>
                <w:sz w:val="20"/>
                <w:szCs w:val="20"/>
              </w:rPr>
              <w:t xml:space="preserve">Marchetti A et al., J Clin Oncol. 2011 Sep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0">
              <w:r>
                <w:rPr>
                  <w:sz w:val="20"/>
                  <w:rStyle w:val="Hyperlink"/>
                </w:rPr>
                <w:t xml:space="preserve">20496265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PLX-4032, a small-molecule B-Raf inhibitor for the potential treatment of malignant melanoma.</w:t>
            </w:r>
            <w:r>
              <w:rPr>
                <w:color w:val="404040" w:themeColor="text1" w:themeTint="BF"/>
                <w:sz w:val="20"/>
                <w:szCs w:val="20"/>
              </w:rPr>
              <w:t xml:space="preserve"> </w:t>
            </w:r>
            <w:r w:rsidRPr="00D90DD4">
              <w:rPr>
                <w:i/>
                <w:color w:val="767171" w:themeColor="background2" w:themeShade="80"/>
                <w:sz w:val="20"/>
                <w:szCs w:val="20"/>
              </w:rPr>
              <w:t xml:space="preserve">Smalley KS, Curr Opin Investig Drugs. 2010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1">
              <w:r>
                <w:rPr>
                  <w:sz w:val="20"/>
                  <w:rStyle w:val="Hyperlink"/>
                </w:rPr>
                <w:t xml:space="preserve">21639808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Improved survival with vemurafenib in melanoma with BRAF V600E mutation.</w:t>
            </w:r>
            <w:r>
              <w:rPr>
                <w:color w:val="404040" w:themeColor="text1" w:themeTint="BF"/>
                <w:sz w:val="20"/>
                <w:szCs w:val="20"/>
              </w:rPr>
              <w:t xml:space="preserve"> </w:t>
            </w:r>
            <w:r w:rsidRPr="00D90DD4">
              <w:rPr>
                <w:i/>
                <w:color w:val="767171" w:themeColor="background2" w:themeShade="80"/>
                <w:sz w:val="20"/>
                <w:szCs w:val="20"/>
              </w:rPr>
              <w:t xml:space="preserve">Chapman PB et al., N Engl J Med. 2011 Jun 30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2">
              <w:r>
                <w:rPr>
                  <w:sz w:val="20"/>
                  <w:rStyle w:val="Hyperlink"/>
                </w:rPr>
                <w:t xml:space="preserve">20818844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Inhibition of mutated, activated BRAF in metastatic melanoma.</w:t>
            </w:r>
            <w:r>
              <w:rPr>
                <w:color w:val="404040" w:themeColor="text1" w:themeTint="BF"/>
                <w:sz w:val="20"/>
                <w:szCs w:val="20"/>
              </w:rPr>
              <w:t xml:space="preserve"> </w:t>
            </w:r>
            <w:r w:rsidRPr="00D90DD4">
              <w:rPr>
                <w:i/>
                <w:color w:val="767171" w:themeColor="background2" w:themeShade="80"/>
                <w:sz w:val="20"/>
                <w:szCs w:val="20"/>
              </w:rPr>
              <w:t xml:space="preserve">Flaherty KT et al., N Engl J Med. 2010 Aug 26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3">
              <w:r>
                <w:rPr>
                  <w:sz w:val="20"/>
                  <w:rStyle w:val="Hyperlink"/>
                </w:rPr>
                <w:t xml:space="preserve">22608338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in patients with melanoma, untreated brain metastases, and other solid tumours: a phase 1 dose-escalation trial.</w:t>
            </w:r>
            <w:r>
              <w:rPr>
                <w:color w:val="404040" w:themeColor="text1" w:themeTint="BF"/>
                <w:sz w:val="20"/>
                <w:szCs w:val="20"/>
              </w:rPr>
              <w:t xml:space="preserve"> </w:t>
            </w:r>
            <w:r w:rsidRPr="00D90DD4">
              <w:rPr>
                <w:i/>
                <w:color w:val="767171" w:themeColor="background2" w:themeShade="80"/>
                <w:sz w:val="20"/>
                <w:szCs w:val="20"/>
              </w:rPr>
              <w:t xml:space="preserve">Falchook GS et al., Lancet. 2012 May 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4">
              <w:r>
                <w:rPr>
                  <w:sz w:val="20"/>
                  <w:rStyle w:val="Hyperlink"/>
                </w:rPr>
                <w:t xml:space="preserve">23918947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Phase II trial (BREAK-2) of the BRAF inhibitor dabrafenib (GSK2118436) in patients with metastatic melanoma.</w:t>
            </w:r>
            <w:r>
              <w:rPr>
                <w:color w:val="404040" w:themeColor="text1" w:themeTint="BF"/>
                <w:sz w:val="20"/>
                <w:szCs w:val="20"/>
              </w:rPr>
              <w:t xml:space="preserve"> </w:t>
            </w:r>
            <w:r w:rsidRPr="00D90DD4">
              <w:rPr>
                <w:i/>
                <w:color w:val="767171" w:themeColor="background2" w:themeShade="80"/>
                <w:sz w:val="20"/>
                <w:szCs w:val="20"/>
              </w:rPr>
              <w:t xml:space="preserve">Ascierto PA et al., J Clin Oncol. 2013 Sep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5">
              <w:r>
                <w:rPr>
                  <w:sz w:val="20"/>
                  <w:rStyle w:val="Hyperlink"/>
                </w:rPr>
                <w:t xml:space="preserve">22889973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Targeted therapies: BREAKing a path for progress--dabrafenib confirms class effect.</w:t>
            </w:r>
            <w:r>
              <w:rPr>
                <w:color w:val="404040" w:themeColor="text1" w:themeTint="BF"/>
                <w:sz w:val="20"/>
                <w:szCs w:val="20"/>
              </w:rPr>
              <w:t xml:space="preserve"> </w:t>
            </w:r>
            <w:r w:rsidRPr="00D90DD4">
              <w:rPr>
                <w:i/>
                <w:color w:val="767171" w:themeColor="background2" w:themeShade="80"/>
                <w:sz w:val="20"/>
                <w:szCs w:val="20"/>
              </w:rPr>
              <w:t xml:space="preserve">Tawbi HA et al., Nat Rev Clin Oncol. 2012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6">
              <w:r>
                <w:rPr>
                  <w:sz w:val="20"/>
                  <w:rStyle w:val="Hyperlink"/>
                </w:rPr>
                <w:t xml:space="preserve">31715422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Trametinib in the treatment of multiple malignancies harboring MEK1 mutations.</w:t>
            </w:r>
            <w:r>
              <w:rPr>
                <w:color w:val="404040" w:themeColor="text1" w:themeTint="BF"/>
                <w:sz w:val="20"/>
                <w:szCs w:val="20"/>
              </w:rPr>
              <w:t xml:space="preserve"> </w:t>
            </w:r>
            <w:r w:rsidRPr="00D90DD4">
              <w:rPr>
                <w:i/>
                <w:color w:val="767171" w:themeColor="background2" w:themeShade="80"/>
                <w:sz w:val="20"/>
                <w:szCs w:val="20"/>
              </w:rPr>
              <w:t xml:space="preserve">Lian T et al., Cancer Treat Rev. 2019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7">
              <w:r>
                <w:rPr>
                  <w:sz w:val="20"/>
                  <w:rStyle w:val="Hyperlink"/>
                </w:rPr>
                <w:t xml:space="preserve">22743296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patient with BRAF V600E lung adenocarcinoma responding to vemurafenib.</w:t>
            </w:r>
            <w:r>
              <w:rPr>
                <w:color w:val="404040" w:themeColor="text1" w:themeTint="BF"/>
                <w:sz w:val="20"/>
                <w:szCs w:val="20"/>
              </w:rPr>
              <w:t xml:space="preserve"> </w:t>
            </w:r>
            <w:r w:rsidRPr="00D90DD4">
              <w:rPr>
                <w:i/>
                <w:color w:val="767171" w:themeColor="background2" w:themeShade="80"/>
                <w:sz w:val="20"/>
                <w:szCs w:val="20"/>
              </w:rPr>
              <w:t xml:space="preserve">Gautschi O et al., J Thorac Oncol. 2012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8">
              <w:r>
                <w:rPr>
                  <w:sz w:val="20"/>
                  <w:rStyle w:val="Hyperlink"/>
                </w:rPr>
                <w:t xml:space="preserve">23733758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Dramatic response induced by vemurafenib in a BRAF V600E-mutated lung adenocarcinoma.</w:t>
            </w:r>
            <w:r>
              <w:rPr>
                <w:color w:val="404040" w:themeColor="text1" w:themeTint="BF"/>
                <w:sz w:val="20"/>
                <w:szCs w:val="20"/>
              </w:rPr>
              <w:t xml:space="preserve"> </w:t>
            </w:r>
            <w:r w:rsidRPr="00D90DD4">
              <w:rPr>
                <w:i/>
                <w:color w:val="767171" w:themeColor="background2" w:themeShade="80"/>
                <w:sz w:val="20"/>
                <w:szCs w:val="20"/>
              </w:rPr>
              <w:t xml:space="preserve">Peters S et al., J Clin Oncol. 2013 Jul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9">
              <w:r>
                <w:rPr>
                  <w:sz w:val="20"/>
                  <w:rStyle w:val="Hyperlink"/>
                </w:rPr>
                <w:t xml:space="preserve">24888229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BRAF V600E-mutated lung adenocarcinoma with metastases to the brain responding to treatment with vemurafenib.</w:t>
            </w:r>
            <w:r>
              <w:rPr>
                <w:color w:val="404040" w:themeColor="text1" w:themeTint="BF"/>
                <w:sz w:val="20"/>
                <w:szCs w:val="20"/>
              </w:rPr>
              <w:t xml:space="preserve"> </w:t>
            </w:r>
            <w:r w:rsidRPr="00D90DD4">
              <w:rPr>
                <w:i/>
                <w:color w:val="767171" w:themeColor="background2" w:themeShade="80"/>
                <w:sz w:val="20"/>
                <w:szCs w:val="20"/>
              </w:rPr>
              <w:t xml:space="preserve">Robinson SD et al., Lung Cancer. 2014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0">
              <w:r>
                <w:rPr>
                  <w:sz w:val="20"/>
                  <w:rStyle w:val="Hyperlink"/>
                </w:rPr>
                <w:t xml:space="preserve">25466451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Response to dabrafenib after progression on vemurafenib in a patient with advanced BRAF V600E-mutant bronchial adenocarcinoma.</w:t>
            </w:r>
            <w:r>
              <w:rPr>
                <w:color w:val="404040" w:themeColor="text1" w:themeTint="BF"/>
                <w:sz w:val="20"/>
                <w:szCs w:val="20"/>
              </w:rPr>
              <w:t xml:space="preserve"> </w:t>
            </w:r>
            <w:r w:rsidRPr="00D90DD4">
              <w:rPr>
                <w:i/>
                <w:color w:val="767171" w:themeColor="background2" w:themeShade="80"/>
                <w:sz w:val="20"/>
                <w:szCs w:val="20"/>
              </w:rPr>
              <w:t xml:space="preserve">Schmid S et al., Lung Cancer. 2015 Jan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1">
              <w:r>
                <w:rPr>
                  <w:sz w:val="20"/>
                  <w:rStyle w:val="Hyperlink"/>
                </w:rPr>
                <w:t xml:space="preserve">23524406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Molecular characterization of acquired resistance to the BRAF inhibitor dabrafenib in a patient with BRAF-mutant non-small-cell lung cancer.</w:t>
            </w:r>
            <w:r>
              <w:rPr>
                <w:color w:val="404040" w:themeColor="text1" w:themeTint="BF"/>
                <w:sz w:val="20"/>
                <w:szCs w:val="20"/>
              </w:rPr>
              <w:t xml:space="preserve"> </w:t>
            </w:r>
            <w:r w:rsidRPr="00D90DD4">
              <w:rPr>
                <w:i/>
                <w:color w:val="767171" w:themeColor="background2" w:themeShade="80"/>
                <w:sz w:val="20"/>
                <w:szCs w:val="20"/>
              </w:rPr>
              <w:t xml:space="preserve">Rudin CM et al., J Thorac Oncol. 2013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2">
              <w:r>
                <w:rPr>
                  <w:sz w:val="20"/>
                  <w:rStyle w:val="Hyperlink"/>
                </w:rPr>
                <w:t xml:space="preserve">27080216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in patients with BRAF(V600E)-positive advanced non-small-cell lung cancer: a single-arm, multicentre, open-label, phase 2 trial.</w:t>
            </w:r>
            <w:r>
              <w:rPr>
                <w:color w:val="404040" w:themeColor="text1" w:themeTint="BF"/>
                <w:sz w:val="20"/>
                <w:szCs w:val="20"/>
              </w:rPr>
              <w:t xml:space="preserve"> </w:t>
            </w:r>
            <w:r w:rsidRPr="00D90DD4">
              <w:rPr>
                <w:i/>
                <w:color w:val="767171" w:themeColor="background2" w:themeShade="80"/>
                <w:sz w:val="20"/>
                <w:szCs w:val="20"/>
              </w:rPr>
              <w:t xml:space="preserve">Planchard D et al., Lancet Oncol. 2016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3">
              <w:r>
                <w:rPr>
                  <w:sz w:val="20"/>
                  <w:rStyle w:val="Hyperlink"/>
                </w:rPr>
                <w:t xml:space="preserve">27283860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plus trametinib in patients with previously treated BRAF(V600E)-mutant metastatic non-small cell lung cancer: an open-label, multicentre phase 2 trial.</w:t>
            </w:r>
            <w:r>
              <w:rPr>
                <w:color w:val="404040" w:themeColor="text1" w:themeTint="BF"/>
                <w:sz w:val="20"/>
                <w:szCs w:val="20"/>
              </w:rPr>
              <w:t xml:space="preserve"> </w:t>
            </w:r>
            <w:r w:rsidRPr="00D90DD4">
              <w:rPr>
                <w:i/>
                <w:color w:val="767171" w:themeColor="background2" w:themeShade="80"/>
                <w:sz w:val="20"/>
                <w:szCs w:val="20"/>
              </w:rPr>
              <w:t xml:space="preserve">Planchard D et al., Lancet Oncol. 2016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4">
              <w:r>
                <w:rPr>
                  <w:sz w:val="20"/>
                  <w:rStyle w:val="Hyperlink"/>
                </w:rPr>
                <w:t xml:space="preserve">28919011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plus trametinib in patients with previously untreated BRAFV600E-mutant metastatic non-small-cell lung cancer: an open-label, phase 2 trial.</w:t>
            </w:r>
            <w:r>
              <w:rPr>
                <w:color w:val="404040" w:themeColor="text1" w:themeTint="BF"/>
                <w:sz w:val="20"/>
                <w:szCs w:val="20"/>
              </w:rPr>
              <w:t xml:space="preserve"> </w:t>
            </w:r>
            <w:r w:rsidRPr="00D90DD4">
              <w:rPr>
                <w:i/>
                <w:color w:val="767171" w:themeColor="background2" w:themeShade="80"/>
                <w:sz w:val="20"/>
                <w:szCs w:val="20"/>
              </w:rPr>
              <w:t xml:space="preserve">Planchard D et al., Lancet Oncol. 2017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5">
              <w:r>
                <w:rPr>
                  <w:sz w:val="20"/>
                  <w:rStyle w:val="Hyperlink"/>
                </w:rPr>
                <w:t xml:space="preserve">29356698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Development of encorafenib for BRAF-mutated advanced melanoma.</w:t>
            </w:r>
            <w:r>
              <w:rPr>
                <w:color w:val="404040" w:themeColor="text1" w:themeTint="BF"/>
                <w:sz w:val="20"/>
                <w:szCs w:val="20"/>
              </w:rPr>
              <w:t xml:space="preserve"> </w:t>
            </w:r>
            <w:r w:rsidRPr="00D90DD4">
              <w:rPr>
                <w:i/>
                <w:color w:val="767171" w:themeColor="background2" w:themeShade="80"/>
                <w:sz w:val="20"/>
                <w:szCs w:val="20"/>
              </w:rPr>
              <w:t xml:space="preserve">Koelblinger P et al., Curr Opin Oncol. 2018 Mar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6">
              <w:r>
                <w:rPr>
                  <w:sz w:val="20"/>
                  <w:rStyle w:val="Hyperlink"/>
                </w:rPr>
                <w:t xml:space="preserve">29573941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Encorafenib plus binimetinib versus vemurafenib or encorafenib in patients with BRAF-mutant melanoma (COLUMBUS): a multicentre, open-label, randomised phase 3 trial.</w:t>
            </w:r>
            <w:r>
              <w:rPr>
                <w:color w:val="404040" w:themeColor="text1" w:themeTint="BF"/>
                <w:sz w:val="20"/>
                <w:szCs w:val="20"/>
              </w:rPr>
              <w:t xml:space="preserve"> </w:t>
            </w:r>
            <w:r w:rsidRPr="00D90DD4">
              <w:rPr>
                <w:i/>
                <w:color w:val="767171" w:themeColor="background2" w:themeShade="80"/>
                <w:sz w:val="20"/>
                <w:szCs w:val="20"/>
              </w:rPr>
              <w:t xml:space="preserve">Dummer R et al., Lancet Oncol. 2018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7">
              <w:r>
                <w:rPr>
                  <w:sz w:val="20"/>
                  <w:rStyle w:val="Hyperlink"/>
                </w:rPr>
                <w:t xml:space="preserve">28537004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MEK Inhibitors in the Treatment of Metastatic Melanoma and Solid Tumors.</w:t>
            </w:r>
            <w:r>
              <w:rPr>
                <w:color w:val="404040" w:themeColor="text1" w:themeTint="BF"/>
                <w:sz w:val="20"/>
                <w:szCs w:val="20"/>
              </w:rPr>
              <w:t xml:space="preserve"> </w:t>
            </w:r>
            <w:r w:rsidRPr="00D90DD4">
              <w:rPr>
                <w:i/>
                <w:color w:val="767171" w:themeColor="background2" w:themeShade="80"/>
                <w:sz w:val="20"/>
                <w:szCs w:val="20"/>
              </w:rPr>
              <w:t xml:space="preserve">Grimaldi AM et al., Am J Clin Dermatol. 2017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8">
              <w:r>
                <w:rPr>
                  <w:sz w:val="20"/>
                  <w:rStyle w:val="Hyperlink"/>
                </w:rPr>
                <w:t xml:space="preserve">30219628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Overall survival in patients with BRAF-mutant melanoma receiving encorafenib plus binimetinib versus vemurafenib or encorafenib (COLUMBUS): a multicentre, open-label, randomised, phase 3 trial.</w:t>
            </w:r>
            <w:r>
              <w:rPr>
                <w:color w:val="404040" w:themeColor="text1" w:themeTint="BF"/>
                <w:sz w:val="20"/>
                <w:szCs w:val="20"/>
              </w:rPr>
              <w:t xml:space="preserve"> </w:t>
            </w:r>
            <w:r w:rsidRPr="00D90DD4">
              <w:rPr>
                <w:i/>
                <w:color w:val="767171" w:themeColor="background2" w:themeShade="80"/>
                <w:sz w:val="20"/>
                <w:szCs w:val="20"/>
              </w:rPr>
              <w:t xml:space="preserve">Dummer R et al., Lancet Oncol. 2018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9">
              <w:r>
                <w:rPr>
                  <w:sz w:val="20"/>
                  <w:rStyle w:val="Hyperlink"/>
                </w:rPr>
                <w:t xml:space="preserve">26433819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Comparison of dabrafenib and trametinib combination therapy with vemurafenib monotherapy on health-related quality of life in patients with unresectable or metastatic cutaneous BRAF Val600-mutation-positive melanoma (COMBI-v): results of a phase 3, open-label, randomised trial.</w:t>
            </w:r>
            <w:r>
              <w:rPr>
                <w:color w:val="404040" w:themeColor="text1" w:themeTint="BF"/>
                <w:sz w:val="20"/>
                <w:szCs w:val="20"/>
              </w:rPr>
              <w:t xml:space="preserve"> </w:t>
            </w:r>
            <w:r w:rsidRPr="00D90DD4">
              <w:rPr>
                <w:i/>
                <w:color w:val="767171" w:themeColor="background2" w:themeShade="80"/>
                <w:sz w:val="20"/>
                <w:szCs w:val="20"/>
              </w:rPr>
              <w:t xml:space="preserve">Grob JJ et al., Lancet Oncol. 2015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0">
              <w:r>
                <w:rPr>
                  <w:sz w:val="20"/>
                  <w:rStyle w:val="Hyperlink"/>
                </w:rPr>
                <w:t xml:space="preserve">31580757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Targeted Therapy in Advanced Melanoma With RareMutations.</w:t>
            </w:r>
            <w:r>
              <w:rPr>
                <w:color w:val="404040" w:themeColor="text1" w:themeTint="BF"/>
                <w:sz w:val="20"/>
                <w:szCs w:val="20"/>
              </w:rPr>
              <w:t xml:space="preserve"> </w:t>
            </w:r>
            <w:r w:rsidRPr="00D90DD4">
              <w:rPr>
                <w:i/>
                <w:color w:val="767171" w:themeColor="background2" w:themeShade="80"/>
                <w:sz w:val="20"/>
                <w:szCs w:val="20"/>
              </w:rPr>
              <w:t xml:space="preserve">Menzer C et al., J Clin Oncol. 2019 Nov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1">
              <w:r>
                <w:rPr>
                  <w:sz w:val="20"/>
                  <w:rStyle w:val="Hyperlink"/>
                </w:rPr>
                <w:t xml:space="preserve">32388065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Molecular mechanisms of resistance to BRAF and MEK inhibitors in BRAFnon-small cell lung cancer.</w:t>
            </w:r>
            <w:r>
              <w:rPr>
                <w:color w:val="404040" w:themeColor="text1" w:themeTint="BF"/>
                <w:sz w:val="20"/>
                <w:szCs w:val="20"/>
              </w:rPr>
              <w:t xml:space="preserve"> </w:t>
            </w:r>
            <w:r w:rsidRPr="00D90DD4">
              <w:rPr>
                <w:i/>
                <w:color w:val="767171" w:themeColor="background2" w:themeShade="80"/>
                <w:sz w:val="20"/>
                <w:szCs w:val="20"/>
              </w:rPr>
              <w:t xml:space="preserve">Facchinetti F et al., Eur J Cancer. 2020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2">
              <w:r>
                <w:rPr>
                  <w:sz w:val="20"/>
                  <w:rStyle w:val="Hyperlink"/>
                </w:rPr>
                <w:t xml:space="preserve">33125859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Challenges of Tumor Mutational Burden as an Immunotherapy Biomarker.</w:t>
            </w:r>
            <w:r>
              <w:rPr>
                <w:color w:val="404040" w:themeColor="text1" w:themeTint="BF"/>
                <w:sz w:val="20"/>
                <w:szCs w:val="20"/>
              </w:rPr>
              <w:t xml:space="preserve"> </w:t>
            </w:r>
            <w:r w:rsidRPr="00D90DD4">
              <w:rPr>
                <w:i/>
                <w:color w:val="767171" w:themeColor="background2" w:themeShade="80"/>
                <w:sz w:val="20"/>
                <w:szCs w:val="20"/>
              </w:rPr>
              <w:t xml:space="preserve">Jardim DL et al., Cancer Cell. 2021 02 08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3">
              <w:r>
                <w:rPr>
                  <w:sz w:val="20"/>
                  <w:rStyle w:val="Hyperlink"/>
                </w:rPr>
                <w:t xml:space="preserve">32919526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Association of tumour mutational burden with outcomes in patients with advanced solid tumours treated with pembrolizumab: prospective biomarker analysis of the multicohort, open-label, phase 2 KEYNOTE-158 study.</w:t>
            </w:r>
            <w:r>
              <w:rPr>
                <w:color w:val="404040" w:themeColor="text1" w:themeTint="BF"/>
                <w:sz w:val="20"/>
                <w:szCs w:val="20"/>
              </w:rPr>
              <w:t xml:space="preserve"> </w:t>
            </w:r>
            <w:r w:rsidRPr="00D90DD4">
              <w:rPr>
                <w:i/>
                <w:color w:val="767171" w:themeColor="background2" w:themeShade="80"/>
                <w:sz w:val="20"/>
                <w:szCs w:val="20"/>
              </w:rPr>
              <w:t xml:space="preserve">Marabelle A et al., Lancet Oncol. 2020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4">
              <w:r>
                <w:rPr>
                  <w:sz w:val="20"/>
                  <w:rStyle w:val="Hyperlink"/>
                </w:rPr>
                <w:t xml:space="preserve">23636398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Integrated genomic characterization of endometrial carcinoma.</w:t>
            </w:r>
            <w:r>
              <w:rPr>
                <w:color w:val="404040" w:themeColor="text1" w:themeTint="BF"/>
                <w:sz w:val="20"/>
                <w:szCs w:val="20"/>
              </w:rPr>
              <w:t xml:space="preserve"> </w:t>
            </w:r>
            <w:r w:rsidRPr="00D90DD4">
              <w:rPr>
                <w:i/>
                <w:color w:val="767171" w:themeColor="background2" w:themeShade="80"/>
                <w:sz w:val="20"/>
                <w:szCs w:val="20"/>
              </w:rPr>
              <w:t xml:space="preserve">Cancer Genome Atlas Research Network et al., Nature. 2013 May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5">
              <w:r>
                <w:rPr>
                  <w:sz w:val="20"/>
                  <w:rStyle w:val="Hyperlink"/>
                </w:rPr>
                <w:t xml:space="preserve">26028255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PD-1 Blockade in Tumors with Mismatch-Repair Deficiency.</w:t>
            </w:r>
            <w:r>
              <w:rPr>
                <w:color w:val="404040" w:themeColor="text1" w:themeTint="BF"/>
                <w:sz w:val="20"/>
                <w:szCs w:val="20"/>
              </w:rPr>
              <w:t xml:space="preserve"> </w:t>
            </w:r>
            <w:r w:rsidRPr="00D90DD4">
              <w:rPr>
                <w:i/>
                <w:color w:val="767171" w:themeColor="background2" w:themeShade="80"/>
                <w:sz w:val="20"/>
                <w:szCs w:val="20"/>
              </w:rPr>
              <w:t xml:space="preserve">Le DT et al., N Engl J Med. 2015 Jun 25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6">
              <w:r>
                <w:rPr>
                  <w:sz w:val="20"/>
                  <w:rStyle w:val="Hyperlink"/>
                </w:rPr>
                <w:t xml:space="preserve">32213091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Review of Immune Checkpoint Blockade Therapy in Endometrial Cancer.</w:t>
            </w:r>
            <w:r>
              <w:rPr>
                <w:color w:val="404040" w:themeColor="text1" w:themeTint="BF"/>
                <w:sz w:val="20"/>
                <w:szCs w:val="20"/>
              </w:rPr>
              <w:t xml:space="preserve"> </w:t>
            </w:r>
            <w:r w:rsidRPr="00D90DD4">
              <w:rPr>
                <w:i/>
                <w:color w:val="767171" w:themeColor="background2" w:themeShade="80"/>
                <w:sz w:val="20"/>
                <w:szCs w:val="20"/>
              </w:rPr>
              <w:t xml:space="preserve">Green AK et al., Am Soc Clin Oncol Educ Book. 2020 Mar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7">
              <w:r>
                <w:rPr>
                  <w:sz w:val="20"/>
                  <w:rStyle w:val="Hyperlink"/>
                </w:rPr>
                <w:t xml:space="preserve">26181000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Association of Polymerase e-Mutated and Microsatellite-Instable Endometrial Cancers With Neoantigen Load, Number of Tumor-Infiltrating Lymphocytes, and Expression of PD-1 and PD-L1.</w:t>
            </w:r>
            <w:r>
              <w:rPr>
                <w:color w:val="404040" w:themeColor="text1" w:themeTint="BF"/>
                <w:sz w:val="20"/>
                <w:szCs w:val="20"/>
              </w:rPr>
              <w:t xml:space="preserve"> </w:t>
            </w:r>
            <w:r w:rsidRPr="00D90DD4">
              <w:rPr>
                <w:i/>
                <w:color w:val="767171" w:themeColor="background2" w:themeShade="80"/>
                <w:sz w:val="20"/>
                <w:szCs w:val="20"/>
              </w:rPr>
              <w:t xml:space="preserve">Howitt BE et al., JAMA Oncol. 2015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8">
              <w:r>
                <w:rPr>
                  <w:sz w:val="20"/>
                  <w:rStyle w:val="Hyperlink"/>
                </w:rPr>
                <w:t xml:space="preserve">19078925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Endometrial cancer and Lynch syndrome: clinical and pathologic considerations.</w:t>
            </w:r>
            <w:r>
              <w:rPr>
                <w:color w:val="404040" w:themeColor="text1" w:themeTint="BF"/>
                <w:sz w:val="20"/>
                <w:szCs w:val="20"/>
              </w:rPr>
              <w:t xml:space="preserve"> </w:t>
            </w:r>
            <w:r w:rsidRPr="00D90DD4">
              <w:rPr>
                <w:i/>
                <w:color w:val="767171" w:themeColor="background2" w:themeShade="80"/>
                <w:sz w:val="20"/>
                <w:szCs w:val="20"/>
              </w:rPr>
              <w:t xml:space="preserve">Meyer LA et al., Cancer Control. 2009 Jan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9">
              <w:r>
                <w:rPr>
                  <w:sz w:val="20"/>
                  <w:rStyle w:val="Hyperlink"/>
                </w:rPr>
                <w:t xml:space="preserve">25673086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Milestones of Lynch syndrome: 1895-2015.</w:t>
            </w:r>
            <w:r>
              <w:rPr>
                <w:color w:val="404040" w:themeColor="text1" w:themeTint="BF"/>
                <w:sz w:val="20"/>
                <w:szCs w:val="20"/>
              </w:rPr>
              <w:t xml:space="preserve"> </w:t>
            </w:r>
            <w:r w:rsidRPr="00D90DD4">
              <w:rPr>
                <w:i/>
                <w:color w:val="767171" w:themeColor="background2" w:themeShade="80"/>
                <w:sz w:val="20"/>
                <w:szCs w:val="20"/>
              </w:rPr>
              <w:t xml:space="preserve">Lynch HT et al., Nat Rev Cancer. 2015 03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0">
              <w:r>
                <w:rPr>
                  <w:sz w:val="20"/>
                  <w:rStyle w:val="Hyperlink"/>
                </w:rPr>
                <w:t xml:space="preserve">31956294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Microsatellite instability: a review of what the oncologist should know.</w:t>
            </w:r>
            <w:r>
              <w:rPr>
                <w:color w:val="404040" w:themeColor="text1" w:themeTint="BF"/>
                <w:sz w:val="20"/>
                <w:szCs w:val="20"/>
              </w:rPr>
              <w:t xml:space="preserve"> </w:t>
            </w:r>
            <w:r w:rsidRPr="00D90DD4">
              <w:rPr>
                <w:i/>
                <w:color w:val="767171" w:themeColor="background2" w:themeShade="80"/>
                <w:sz w:val="20"/>
                <w:szCs w:val="20"/>
              </w:rPr>
              <w:t xml:space="preserve">Li K et al., Cancer Cell Int. 2020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1">
              <w:r>
                <w:rPr>
                  <w:sz w:val="20"/>
                  <w:rStyle w:val="Hyperlink"/>
                </w:rPr>
                <w:t xml:space="preserve">31618962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Microsatellite Instability: Diagnosis, Heterogeneity, Discordance, and Clinical Impact in Colorectal Cancer.</w:t>
            </w:r>
            <w:r>
              <w:rPr>
                <w:color w:val="404040" w:themeColor="text1" w:themeTint="BF"/>
                <w:sz w:val="20"/>
                <w:szCs w:val="20"/>
              </w:rPr>
              <w:t xml:space="preserve"> </w:t>
            </w:r>
            <w:r w:rsidRPr="00D90DD4">
              <w:rPr>
                <w:i/>
                <w:color w:val="767171" w:themeColor="background2" w:themeShade="80"/>
                <w:sz w:val="20"/>
                <w:szCs w:val="20"/>
              </w:rPr>
              <w:t xml:space="preserve">Evrard C et al., Cancers (Basel). 2019 Oct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2">
              <w:r>
                <w:rPr>
                  <w:sz w:val="20"/>
                  <w:rStyle w:val="Hyperlink"/>
                </w:rPr>
                <w:t xml:space="preserve">34630437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Lynch Syndrome and MSI-H Cancers: From Mechanisms to "Off-The-Shelf" Cancer Vaccines.</w:t>
            </w:r>
            <w:r>
              <w:rPr>
                <w:color w:val="404040" w:themeColor="text1" w:themeTint="BF"/>
                <w:sz w:val="20"/>
                <w:szCs w:val="20"/>
              </w:rPr>
              <w:t xml:space="preserve"> </w:t>
            </w:r>
            <w:r w:rsidRPr="00D90DD4">
              <w:rPr>
                <w:i/>
                <w:color w:val="767171" w:themeColor="background2" w:themeShade="80"/>
                <w:sz w:val="20"/>
                <w:szCs w:val="20"/>
              </w:rPr>
              <w:t xml:space="preserve">Roudko V et al., Front Immunol.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3">
              <w:r>
                <w:rPr>
                  <w:sz w:val="20"/>
                  <w:rStyle w:val="Hyperlink"/>
                </w:rPr>
                <w:t xml:space="preserve">30887763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Immunotherapy in endometrial cancer: new scenarios on the horizon.</w:t>
            </w:r>
            <w:r>
              <w:rPr>
                <w:color w:val="404040" w:themeColor="text1" w:themeTint="BF"/>
                <w:sz w:val="20"/>
                <w:szCs w:val="20"/>
              </w:rPr>
              <w:t xml:space="preserve"> </w:t>
            </w:r>
            <w:r w:rsidRPr="00D90DD4">
              <w:rPr>
                <w:i/>
                <w:color w:val="767171" w:themeColor="background2" w:themeShade="80"/>
                <w:sz w:val="20"/>
                <w:szCs w:val="20"/>
              </w:rPr>
              <w:t xml:space="preserve">Di Tucci C et al., J Gynecol Oncol. 2019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4">
              <w:r>
                <w:rPr>
                  <w:sz w:val="20"/>
                  <w:rStyle w:val="Hyperlink"/>
                </w:rPr>
                <w:t xml:space="preserve">30787022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Pembrolizumab for the Treatment of Microsatellite Instability-High Solid Tumors.</w:t>
            </w:r>
            <w:r>
              <w:rPr>
                <w:color w:val="404040" w:themeColor="text1" w:themeTint="BF"/>
                <w:sz w:val="20"/>
                <w:szCs w:val="20"/>
              </w:rPr>
              <w:t xml:space="preserve"> </w:t>
            </w:r>
            <w:r w:rsidRPr="00D90DD4">
              <w:rPr>
                <w:i/>
                <w:color w:val="767171" w:themeColor="background2" w:themeShade="80"/>
                <w:sz w:val="20"/>
                <w:szCs w:val="20"/>
              </w:rPr>
              <w:t xml:space="preserve">Marcus L et al., Clin Cancer Res. 2019 07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5">
              <w:r>
                <w:rPr>
                  <w:sz w:val="20"/>
                  <w:rStyle w:val="Hyperlink"/>
                </w:rPr>
                <w:t xml:space="preserve">28596308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Mismatch repair deficiency predicts response of solid tumors to PD-1 blockade.</w:t>
            </w:r>
            <w:r>
              <w:rPr>
                <w:color w:val="404040" w:themeColor="text1" w:themeTint="BF"/>
                <w:sz w:val="20"/>
                <w:szCs w:val="20"/>
              </w:rPr>
              <w:t xml:space="preserve"> </w:t>
            </w:r>
            <w:r w:rsidRPr="00D90DD4">
              <w:rPr>
                <w:i/>
                <w:color w:val="767171" w:themeColor="background2" w:themeShade="80"/>
                <w:sz w:val="20"/>
                <w:szCs w:val="20"/>
              </w:rPr>
              <w:t xml:space="preserve">Le DT et al., Science. 2017 07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6">
              <w:r>
                <w:rPr>
                  <w:sz w:val="20"/>
                  <w:rStyle w:val="Hyperlink"/>
                </w:rPr>
                <w:t xml:space="preserve">33516088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Clinical use and mechanisms of resistance for PARP inhibitors in homologous recombination-deficient cancers.</w:t>
            </w:r>
            <w:r>
              <w:rPr>
                <w:color w:val="404040" w:themeColor="text1" w:themeTint="BF"/>
                <w:sz w:val="20"/>
                <w:szCs w:val="20"/>
              </w:rPr>
              <w:t xml:space="preserve"> </w:t>
            </w:r>
            <w:r w:rsidRPr="00D90DD4">
              <w:rPr>
                <w:i/>
                <w:color w:val="767171" w:themeColor="background2" w:themeShade="80"/>
                <w:sz w:val="20"/>
                <w:szCs w:val="20"/>
              </w:rPr>
              <w:t xml:space="preserve">Janysek DC et al., Transl Oncol. 2021 Mar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7">
              <w:r>
                <w:rPr>
                  <w:sz w:val="20"/>
                  <w:rStyle w:val="Hyperlink"/>
                </w:rPr>
                <w:t xml:space="preserve">34423229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Utility of Homologous Recombination Deficiency Biomarkers Across Cancer Types.</w:t>
            </w:r>
            <w:r>
              <w:rPr>
                <w:color w:val="404040" w:themeColor="text1" w:themeTint="BF"/>
                <w:sz w:val="20"/>
                <w:szCs w:val="20"/>
              </w:rPr>
              <w:t xml:space="preserve"> </w:t>
            </w:r>
            <w:r w:rsidRPr="00D90DD4">
              <w:rPr>
                <w:i/>
                <w:color w:val="767171" w:themeColor="background2" w:themeShade="80"/>
                <w:sz w:val="20"/>
                <w:szCs w:val="20"/>
              </w:rPr>
              <w:t xml:space="preserve">Takamatsu S et al., JCO Precis Oncol. 2021 08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8">
              <w:r>
                <w:rPr>
                  <w:sz w:val="20"/>
                  <w:rStyle w:val="Hyperlink"/>
                </w:rPr>
                <w:t xml:space="preserve">35274707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Homologous Recombination Deficiency: Concepts, Definitions, and Assays.</w:t>
            </w:r>
            <w:r>
              <w:rPr>
                <w:color w:val="404040" w:themeColor="text1" w:themeTint="BF"/>
                <w:sz w:val="20"/>
                <w:szCs w:val="20"/>
              </w:rPr>
              <w:t xml:space="preserve"> </w:t>
            </w:r>
            <w:r w:rsidRPr="00D90DD4">
              <w:rPr>
                <w:i/>
                <w:color w:val="767171" w:themeColor="background2" w:themeShade="80"/>
                <w:sz w:val="20"/>
                <w:szCs w:val="20"/>
              </w:rPr>
              <w:t xml:space="preserve">Stewart MD et al., Oncologist. 2022 03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9">
              <w:r>
                <w:rPr>
                  <w:sz w:val="20"/>
                  <w:rStyle w:val="Hyperlink"/>
                </w:rPr>
                <w:t xml:space="preserve">33214570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Frequency and prognostic value of mutations associated with the homologous recombination DNA repair pathway in a large pan cancer cohort.</w:t>
            </w:r>
            <w:r>
              <w:rPr>
                <w:color w:val="404040" w:themeColor="text1" w:themeTint="BF"/>
                <w:sz w:val="20"/>
                <w:szCs w:val="20"/>
              </w:rPr>
              <w:t xml:space="preserve"> </w:t>
            </w:r>
            <w:r w:rsidRPr="00D90DD4">
              <w:rPr>
                <w:i/>
                <w:color w:val="767171" w:themeColor="background2" w:themeShade="80"/>
                <w:sz w:val="20"/>
                <w:szCs w:val="20"/>
              </w:rPr>
              <w:t xml:space="preserve">Principe DR et al., Sci Rep. 2020 11 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0">
              <w:r>
                <w:rPr>
                  <w:sz w:val="20"/>
                  <w:rStyle w:val="Hyperlink"/>
                </w:rPr>
                <w:t xml:space="preserve">34740923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Pan-cancer Analysis of Homologous Recombination Repair-associated Gene Alterations and Genome-wide Loss-of-Heterozygosity Score.</w:t>
            </w:r>
            <w:r>
              <w:rPr>
                <w:color w:val="404040" w:themeColor="text1" w:themeTint="BF"/>
                <w:sz w:val="20"/>
                <w:szCs w:val="20"/>
              </w:rPr>
              <w:t xml:space="preserve"> </w:t>
            </w:r>
            <w:r w:rsidRPr="00D90DD4">
              <w:rPr>
                <w:i/>
                <w:color w:val="767171" w:themeColor="background2" w:themeShade="80"/>
                <w:sz w:val="20"/>
                <w:szCs w:val="20"/>
              </w:rPr>
              <w:t xml:space="preserve">Westphalen CB et al., Clin Cancer Res. 2022 04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1">
              <w:r>
                <w:rPr>
                  <w:sz w:val="20"/>
                  <w:rStyle w:val="Hyperlink"/>
                </w:rPr>
                <w:t xml:space="preserve">33149131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Pan-cancer landscape of homologous recombination deficiency.</w:t>
            </w:r>
            <w:r>
              <w:rPr>
                <w:color w:val="404040" w:themeColor="text1" w:themeTint="BF"/>
                <w:sz w:val="20"/>
                <w:szCs w:val="20"/>
              </w:rPr>
              <w:t xml:space="preserve"> </w:t>
            </w:r>
            <w:r w:rsidRPr="00D90DD4">
              <w:rPr>
                <w:i/>
                <w:color w:val="767171" w:themeColor="background2" w:themeShade="80"/>
                <w:sz w:val="20"/>
                <w:szCs w:val="20"/>
              </w:rPr>
              <w:t xml:space="preserve">Nguyen L et al., Nat Commun. 2020 11 04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2">
              <w:r>
                <w:rPr>
                  <w:sz w:val="20"/>
                  <w:rStyle w:val="Hyperlink"/>
                </w:rPr>
                <w:t xml:space="preserve">31362850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Defining and Modulating 'BRCAness'.</w:t>
            </w:r>
            <w:r>
              <w:rPr>
                <w:color w:val="404040" w:themeColor="text1" w:themeTint="BF"/>
                <w:sz w:val="20"/>
                <w:szCs w:val="20"/>
              </w:rPr>
              <w:t xml:space="preserve"> </w:t>
            </w:r>
            <w:r w:rsidRPr="00D90DD4">
              <w:rPr>
                <w:i/>
                <w:color w:val="767171" w:themeColor="background2" w:themeShade="80"/>
                <w:sz w:val="20"/>
                <w:szCs w:val="20"/>
              </w:rPr>
              <w:t xml:space="preserve">Byrum AK et al., Trends Cell Biol. 2019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3">
              <w:r>
                <w:rPr>
                  <w:sz w:val="20"/>
                  <w:rStyle w:val="Hyperlink"/>
                </w:rPr>
                <w:t xml:space="preserve">34021944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Homologous Recombination Deficiency: Cancer Predispositions and Treatment Implications.</w:t>
            </w:r>
            <w:r>
              <w:rPr>
                <w:color w:val="404040" w:themeColor="text1" w:themeTint="BF"/>
                <w:sz w:val="20"/>
                <w:szCs w:val="20"/>
              </w:rPr>
              <w:t xml:space="preserve"> </w:t>
            </w:r>
            <w:r w:rsidRPr="00D90DD4">
              <w:rPr>
                <w:i/>
                <w:color w:val="767171" w:themeColor="background2" w:themeShade="80"/>
                <w:sz w:val="20"/>
                <w:szCs w:val="20"/>
              </w:rPr>
              <w:t xml:space="preserve">Toh M et al., Oncologist. 2021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4">
              <w:r>
                <w:rPr>
                  <w:sz w:val="20"/>
                  <w:rStyle w:val="Hyperlink"/>
                </w:rPr>
                <w:t xml:space="preserve">33630412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Practical considerations for optimising homologous recombination repair mutation testing in patients with metastatic prostate cancer.</w:t>
            </w:r>
            <w:r>
              <w:rPr>
                <w:color w:val="404040" w:themeColor="text1" w:themeTint="BF"/>
                <w:sz w:val="20"/>
                <w:szCs w:val="20"/>
              </w:rPr>
              <w:t xml:space="preserve"> </w:t>
            </w:r>
            <w:r w:rsidRPr="00D90DD4">
              <w:rPr>
                <w:i/>
                <w:color w:val="767171" w:themeColor="background2" w:themeShade="80"/>
                <w:sz w:val="20"/>
                <w:szCs w:val="20"/>
              </w:rPr>
              <w:t xml:space="preserve">Gonzalez D et al., J Pathol Clin Res. 2021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5">
              <w:r>
                <w:rPr>
                  <w:sz w:val="20"/>
                  <w:rStyle w:val="Hyperlink"/>
                </w:rPr>
                <w:t xml:space="preserve">35228986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Poly Adenosine Diphosphate-Ribose Polymerase (PARP) Inhibitors in Pancreatic Cancer.</w:t>
            </w:r>
            <w:r>
              <w:rPr>
                <w:color w:val="404040" w:themeColor="text1" w:themeTint="BF"/>
                <w:sz w:val="20"/>
                <w:szCs w:val="20"/>
              </w:rPr>
              <w:t xml:space="preserve"> </w:t>
            </w:r>
            <w:r w:rsidRPr="00D90DD4">
              <w:rPr>
                <w:i/>
                <w:color w:val="767171" w:themeColor="background2" w:themeShade="80"/>
                <w:sz w:val="20"/>
                <w:szCs w:val="20"/>
              </w:rPr>
              <w:t xml:space="preserve">Sunkara T et al., Cureus. 2022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6">
              <w:r>
                <w:rPr>
                  <w:sz w:val="20"/>
                  <w:rStyle w:val="Hyperlink"/>
                </w:rPr>
                <w:t xml:space="preserve">34203281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Biomarkers for Homologous Recombination Deficiency in Cancer.</w:t>
            </w:r>
            <w:r>
              <w:rPr>
                <w:color w:val="404040" w:themeColor="text1" w:themeTint="BF"/>
                <w:sz w:val="20"/>
                <w:szCs w:val="20"/>
              </w:rPr>
              <w:t xml:space="preserve"> </w:t>
            </w:r>
            <w:r w:rsidRPr="00D90DD4">
              <w:rPr>
                <w:i/>
                <w:color w:val="767171" w:themeColor="background2" w:themeShade="80"/>
                <w:sz w:val="20"/>
                <w:szCs w:val="20"/>
              </w:rPr>
              <w:t xml:space="preserve">Wagener-Ryczek S et al., J Pers Med. 2021 Jun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7">
              <w:r>
                <w:rPr>
                  <w:sz w:val="20"/>
                  <w:rStyle w:val="Hyperlink"/>
                </w:rPr>
                <w:t xml:space="preserve">18259690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epidermal growth factor receptor family: biology driving targeted therapeutics.</w:t>
            </w:r>
            <w:r>
              <w:rPr>
                <w:color w:val="404040" w:themeColor="text1" w:themeTint="BF"/>
                <w:sz w:val="20"/>
                <w:szCs w:val="20"/>
              </w:rPr>
              <w:t xml:space="preserve"> </w:t>
            </w:r>
            <w:r w:rsidRPr="00D90DD4">
              <w:rPr>
                <w:i/>
                <w:color w:val="767171" w:themeColor="background2" w:themeShade="80"/>
                <w:sz w:val="20"/>
                <w:szCs w:val="20"/>
              </w:rPr>
              <w:t xml:space="preserve">Wieduwilt MJ et al., Cell Mol Life Sci. 2008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8">
              <w:r>
                <w:rPr>
                  <w:sz w:val="20"/>
                  <w:rStyle w:val="Hyperlink"/>
                </w:rPr>
                <w:t xml:space="preserve">9130710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ErbB-2, the preferred heterodimerization partner of all ErbB receptors, is a mediator of lateral signaling.</w:t>
            </w:r>
            <w:r>
              <w:rPr>
                <w:color w:val="404040" w:themeColor="text1" w:themeTint="BF"/>
                <w:sz w:val="20"/>
                <w:szCs w:val="20"/>
              </w:rPr>
              <w:t xml:space="preserve"> </w:t>
            </w:r>
            <w:r w:rsidRPr="00D90DD4">
              <w:rPr>
                <w:i/>
                <w:color w:val="767171" w:themeColor="background2" w:themeShade="80"/>
                <w:sz w:val="20"/>
                <w:szCs w:val="20"/>
              </w:rPr>
              <w:t xml:space="preserve">Graus-Porta D et al., EMBO J. 1997 Apr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9">
              <w:r>
                <w:rPr>
                  <w:sz w:val="20"/>
                  <w:rStyle w:val="Hyperlink"/>
                </w:rPr>
                <w:t xml:space="preserve">12620236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crystal structure of a truncated ErbB2 ectodomain reveals an active conformation, poised to interact with other ErbB receptors.</w:t>
            </w:r>
            <w:r>
              <w:rPr>
                <w:color w:val="404040" w:themeColor="text1" w:themeTint="BF"/>
                <w:sz w:val="20"/>
                <w:szCs w:val="20"/>
              </w:rPr>
              <w:t xml:space="preserve"> </w:t>
            </w:r>
            <w:r w:rsidRPr="00D90DD4">
              <w:rPr>
                <w:i/>
                <w:color w:val="767171" w:themeColor="background2" w:themeShade="80"/>
                <w:sz w:val="20"/>
                <w:szCs w:val="20"/>
              </w:rPr>
              <w:t xml:space="preserve">Garrett TP et al., Mol Cell. 2003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0">
              <w:r>
                <w:rPr>
                  <w:sz w:val="20"/>
                  <w:rStyle w:val="Hyperlink"/>
                </w:rPr>
                <w:t xml:space="preserve">11252954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Untangling the ErbB signalling network.</w:t>
            </w:r>
            <w:r>
              <w:rPr>
                <w:color w:val="404040" w:themeColor="text1" w:themeTint="BF"/>
                <w:sz w:val="20"/>
                <w:szCs w:val="20"/>
              </w:rPr>
              <w:t xml:space="preserve"> </w:t>
            </w:r>
            <w:r w:rsidRPr="00D90DD4">
              <w:rPr>
                <w:i/>
                <w:color w:val="767171" w:themeColor="background2" w:themeShade="80"/>
                <w:sz w:val="20"/>
                <w:szCs w:val="20"/>
              </w:rPr>
              <w:t xml:space="preserve">Yarden Y et al., Nat Rev Mol Cell Biol. 2001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1">
              <w:r>
                <w:rPr>
                  <w:sz w:val="20"/>
                  <w:rStyle w:val="Hyperlink"/>
                </w:rPr>
                <w:t xml:space="preserve">17000658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epidermal growth factor receptor pathway: a model for targeted therapy.</w:t>
            </w:r>
            <w:r>
              <w:rPr>
                <w:color w:val="404040" w:themeColor="text1" w:themeTint="BF"/>
                <w:sz w:val="20"/>
                <w:szCs w:val="20"/>
              </w:rPr>
              <w:t xml:space="preserve"> </w:t>
            </w:r>
            <w:r w:rsidRPr="00D90DD4">
              <w:rPr>
                <w:i/>
                <w:color w:val="767171" w:themeColor="background2" w:themeShade="80"/>
                <w:sz w:val="20"/>
                <w:szCs w:val="20"/>
              </w:rPr>
              <w:t xml:space="preserve">Scaltriti M et al., Clin Cancer Res. 2006 Sep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2">
              <w:r>
                <w:rPr>
                  <w:sz w:val="20"/>
                  <w:rStyle w:val="Hyperlink"/>
                </w:rPr>
                <w:t xml:space="preserve">27158780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Distinct patterns of somatic genome alterations in lung adenocarcinomas and squamous cell carcinomas.</w:t>
            </w:r>
            <w:r>
              <w:rPr>
                <w:color w:val="404040" w:themeColor="text1" w:themeTint="BF"/>
                <w:sz w:val="20"/>
                <w:szCs w:val="20"/>
              </w:rPr>
              <w:t xml:space="preserve"> </w:t>
            </w:r>
            <w:r w:rsidRPr="00D90DD4">
              <w:rPr>
                <w:i/>
                <w:color w:val="767171" w:themeColor="background2" w:themeShade="80"/>
                <w:sz w:val="20"/>
                <w:szCs w:val="20"/>
              </w:rPr>
              <w:t xml:space="preserve">Campbell JD et al., Nat Genet. 2016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3">
              <w:r>
                <w:rPr>
                  <w:sz w:val="20"/>
                  <w:rStyle w:val="Hyperlink"/>
                </w:rPr>
                <w:t xml:space="preserve">29337640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Molecular Determinants of Response to Anti-Programmed Cell Death (PD)-1 and Anti-Programmed Death-Ligand 1 (PD-L1) Blockade in Patients With Non-Small-Cell Lung Cancer Profiled With Targeted Next-Generation Sequencing.</w:t>
            </w:r>
            <w:r>
              <w:rPr>
                <w:color w:val="404040" w:themeColor="text1" w:themeTint="BF"/>
                <w:sz w:val="20"/>
                <w:szCs w:val="20"/>
              </w:rPr>
              <w:t xml:space="preserve"> </w:t>
            </w:r>
            <w:r w:rsidRPr="00D90DD4">
              <w:rPr>
                <w:i/>
                <w:color w:val="767171" w:themeColor="background2" w:themeShade="80"/>
                <w:sz w:val="20"/>
                <w:szCs w:val="20"/>
              </w:rPr>
              <w:t xml:space="preserve">Rizvi H et al., J Clin Oncol. 2018 Mar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4">
              <w:r>
                <w:rPr>
                  <w:sz w:val="20"/>
                  <w:rStyle w:val="Hyperlink"/>
                </w:rPr>
                <w:t xml:space="preserve">25079552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Comprehensive molecular profiling of lung adenocarcinoma.</w:t>
            </w:r>
            <w:r>
              <w:rPr>
                <w:color w:val="404040" w:themeColor="text1" w:themeTint="BF"/>
                <w:sz w:val="20"/>
                <w:szCs w:val="20"/>
              </w:rPr>
              <w:t xml:space="preserve"> </w:t>
            </w:r>
            <w:r w:rsidRPr="00D90DD4">
              <w:rPr>
                <w:i/>
                <w:color w:val="767171" w:themeColor="background2" w:themeShade="80"/>
                <w:sz w:val="20"/>
                <w:szCs w:val="20"/>
              </w:rPr>
              <w:t xml:space="preserve">Cancer Genome Atlas Research Network, Nature. 2014 Jul 31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5">
              <w:r>
                <w:rPr>
                  <w:sz w:val="20"/>
                  <w:rStyle w:val="Hyperlink"/>
                </w:rPr>
                <w:t xml:space="preserve">28336552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Prospective Comprehensive Molecular Characterization of Lung Adenocarcinomas for Efficient Patient Matching to Approved and Emerging Therapies.</w:t>
            </w:r>
            <w:r>
              <w:rPr>
                <w:color w:val="404040" w:themeColor="text1" w:themeTint="BF"/>
                <w:sz w:val="20"/>
                <w:szCs w:val="20"/>
              </w:rPr>
              <w:t xml:space="preserve"> </w:t>
            </w:r>
            <w:r w:rsidRPr="00D90DD4">
              <w:rPr>
                <w:i/>
                <w:color w:val="767171" w:themeColor="background2" w:themeShade="80"/>
                <w:sz w:val="20"/>
                <w:szCs w:val="20"/>
              </w:rPr>
              <w:t xml:space="preserve">Jordan EJ et al., Cancer Discov. 2017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6">
              <w:r>
                <w:rPr>
                  <w:sz w:val="20"/>
                  <w:rStyle w:val="Hyperlink"/>
                </w:rPr>
                <w:t xml:space="preserve">32109716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Novel drugs targeting EGFR and HER2 exon 20 mutations in metastatic NSCLC.</w:t>
            </w:r>
            <w:r>
              <w:rPr>
                <w:color w:val="404040" w:themeColor="text1" w:themeTint="BF"/>
                <w:sz w:val="20"/>
                <w:szCs w:val="20"/>
              </w:rPr>
              <w:t xml:space="preserve"> </w:t>
            </w:r>
            <w:r w:rsidRPr="00D90DD4">
              <w:rPr>
                <w:i/>
                <w:color w:val="767171" w:themeColor="background2" w:themeShade="80"/>
                <w:sz w:val="20"/>
                <w:szCs w:val="20"/>
              </w:rPr>
              <w:t xml:space="preserve">Baraibar I et al., Crit Rev Oncol Hematol. 2020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7">
              <w:r>
                <w:rPr>
                  <w:sz w:val="20"/>
                  <w:rStyle w:val="Hyperlink"/>
                </w:rPr>
                <w:t xml:space="preserve">34561632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EGFR and HER2 exon 20 insertions in solid tumours: from biology to treatment.</w:t>
            </w:r>
            <w:r>
              <w:rPr>
                <w:color w:val="404040" w:themeColor="text1" w:themeTint="BF"/>
                <w:sz w:val="20"/>
                <w:szCs w:val="20"/>
              </w:rPr>
              <w:t xml:space="preserve"> </w:t>
            </w:r>
            <w:r w:rsidRPr="00D90DD4">
              <w:rPr>
                <w:i/>
                <w:color w:val="767171" w:themeColor="background2" w:themeShade="80"/>
                <w:sz w:val="20"/>
                <w:szCs w:val="20"/>
              </w:rPr>
              <w:t xml:space="preserve">Friedlaender A et al., Nat Rev Clin Oncol. 2022 Jan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8">
              <w:r>
                <w:rPr>
                  <w:sz w:val="20"/>
                  <w:rStyle w:val="Hyperlink"/>
                </w:rPr>
                <w:t xml:space="preserve">15457249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Lung cancer: intragenic ERBB2 kinase mutations in tumours.</w:t>
            </w:r>
            <w:r>
              <w:rPr>
                <w:color w:val="404040" w:themeColor="text1" w:themeTint="BF"/>
                <w:sz w:val="20"/>
                <w:szCs w:val="20"/>
              </w:rPr>
              <w:t xml:space="preserve"> </w:t>
            </w:r>
            <w:r w:rsidRPr="00D90DD4">
              <w:rPr>
                <w:i/>
                <w:color w:val="767171" w:themeColor="background2" w:themeShade="80"/>
                <w:sz w:val="20"/>
                <w:szCs w:val="20"/>
              </w:rPr>
              <w:t xml:space="preserve">Stephens P et al., Nature. 2004 Sep 30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9">
              <w:r>
                <w:rPr>
                  <w:sz w:val="20"/>
                  <w:rStyle w:val="Hyperlink"/>
                </w:rPr>
                <w:t xml:space="preserve">23610105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Lung cancer that harbors an HER2 mutation: epidemiologic characteristics and therapeutic perspectives.</w:t>
            </w:r>
            <w:r>
              <w:rPr>
                <w:color w:val="404040" w:themeColor="text1" w:themeTint="BF"/>
                <w:sz w:val="20"/>
                <w:szCs w:val="20"/>
              </w:rPr>
              <w:t xml:space="preserve"> </w:t>
            </w:r>
            <w:r w:rsidRPr="00D90DD4">
              <w:rPr>
                <w:i/>
                <w:color w:val="767171" w:themeColor="background2" w:themeShade="80"/>
                <w:sz w:val="20"/>
                <w:szCs w:val="20"/>
              </w:rPr>
              <w:t xml:space="preserve">Mazières J et al., J Clin Oncol. 2013 Jun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0">
              <w:r>
                <w:rPr>
                  <w:sz w:val="20"/>
                  <w:rStyle w:val="Hyperlink"/>
                </w:rPr>
                <w:t xml:space="preserve">22761469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Prevalence, clinicopathologic associations, and molecular spectrum of ERBB2 (HER2) tyrosine kinase mutations in lung adenocarcinomas.</w:t>
            </w:r>
            <w:r>
              <w:rPr>
                <w:color w:val="404040" w:themeColor="text1" w:themeTint="BF"/>
                <w:sz w:val="20"/>
                <w:szCs w:val="20"/>
              </w:rPr>
              <w:t xml:space="preserve"> </w:t>
            </w:r>
            <w:r w:rsidRPr="00D90DD4">
              <w:rPr>
                <w:i/>
                <w:color w:val="767171" w:themeColor="background2" w:themeShade="80"/>
                <w:sz w:val="20"/>
                <w:szCs w:val="20"/>
              </w:rPr>
              <w:t xml:space="preserve">Arcila ME et al., Clin Cancer Res. 2012 Sep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1">
              <w:r>
                <w:rPr>
                  <w:sz w:val="20"/>
                  <w:rStyle w:val="Hyperlink"/>
                </w:rPr>
                <w:t xml:space="preserve">28743157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HER2 mutations in lung adenocarcinomas: A report from the Lung Cancer Mutation Consortium.</w:t>
            </w:r>
            <w:r>
              <w:rPr>
                <w:color w:val="404040" w:themeColor="text1" w:themeTint="BF"/>
                <w:sz w:val="20"/>
                <w:szCs w:val="20"/>
              </w:rPr>
              <w:t xml:space="preserve"> </w:t>
            </w:r>
            <w:r w:rsidRPr="00D90DD4">
              <w:rPr>
                <w:i/>
                <w:color w:val="767171" w:themeColor="background2" w:themeShade="80"/>
                <w:sz w:val="20"/>
                <w:szCs w:val="20"/>
              </w:rPr>
              <w:t xml:space="preserve">Pillai RN et al., Cancer. 2017 Nov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2">
              <w:r>
                <w:rPr>
                  <w:sz w:val="20"/>
                  <w:rStyle w:val="Hyperlink"/>
                </w:rPr>
                <w:t xml:space="preserve">31469421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Frequency and outcomes of brain metastases in patients with HER2-mutant lung cancers.</w:t>
            </w:r>
            <w:r>
              <w:rPr>
                <w:color w:val="404040" w:themeColor="text1" w:themeTint="BF"/>
                <w:sz w:val="20"/>
                <w:szCs w:val="20"/>
              </w:rPr>
              <w:t xml:space="preserve"> </w:t>
            </w:r>
            <w:r w:rsidRPr="00D90DD4">
              <w:rPr>
                <w:i/>
                <w:color w:val="767171" w:themeColor="background2" w:themeShade="80"/>
                <w:sz w:val="20"/>
                <w:szCs w:val="20"/>
              </w:rPr>
              <w:t xml:space="preserve">Offin M et al., Cancer. 2019 12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3">
              <w:r>
                <w:rPr>
                  <w:sz w:val="20"/>
                  <w:rStyle w:val="Hyperlink"/>
                </w:rPr>
                <w:t xml:space="preserve">24887180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Trastuzumab emtansine: mechanisms of action and drug resistance.</w:t>
            </w:r>
            <w:r>
              <w:rPr>
                <w:color w:val="404040" w:themeColor="text1" w:themeTint="BF"/>
                <w:sz w:val="20"/>
                <w:szCs w:val="20"/>
              </w:rPr>
              <w:t xml:space="preserve"> </w:t>
            </w:r>
            <w:r w:rsidRPr="00D90DD4">
              <w:rPr>
                <w:i/>
                <w:color w:val="767171" w:themeColor="background2" w:themeShade="80"/>
                <w:sz w:val="20"/>
                <w:szCs w:val="20"/>
              </w:rPr>
              <w:t xml:space="preserve">Barok M et al., Breast Cancer Res. 2014 Mar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4">
              <w:r>
                <w:rPr>
                  <w:sz w:val="20"/>
                  <w:rStyle w:val="Hyperlink"/>
                </w:rPr>
                <w:t xml:space="preserve">25082874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Ado-trastuzumab emtansine: a HER2-positive targeted antibody-drug conjugate.</w:t>
            </w:r>
            <w:r>
              <w:rPr>
                <w:color w:val="404040" w:themeColor="text1" w:themeTint="BF"/>
                <w:sz w:val="20"/>
                <w:szCs w:val="20"/>
              </w:rPr>
              <w:t xml:space="preserve"> </w:t>
            </w:r>
            <w:r w:rsidRPr="00D90DD4">
              <w:rPr>
                <w:i/>
                <w:color w:val="767171" w:themeColor="background2" w:themeShade="80"/>
                <w:sz w:val="20"/>
                <w:szCs w:val="20"/>
              </w:rPr>
              <w:t xml:space="preserve">Corrigan PA et al., Ann Pharmacother. 2014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5">
              <w:r>
                <w:rPr>
                  <w:sz w:val="20"/>
                  <w:rStyle w:val="Hyperlink"/>
                </w:rPr>
                <w:t xml:space="preserve">29989854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Ado-Trastuzumab Emtansine for Patients With HER2-Mutant Lung Cancers: Results From a Phase II Basket Trial.</w:t>
            </w:r>
            <w:r>
              <w:rPr>
                <w:color w:val="404040" w:themeColor="text1" w:themeTint="BF"/>
                <w:sz w:val="20"/>
                <w:szCs w:val="20"/>
              </w:rPr>
              <w:t xml:space="preserve"> </w:t>
            </w:r>
            <w:r w:rsidRPr="00D90DD4">
              <w:rPr>
                <w:i/>
                <w:color w:val="767171" w:themeColor="background2" w:themeShade="80"/>
                <w:sz w:val="20"/>
                <w:szCs w:val="20"/>
              </w:rPr>
              <w:t xml:space="preserve">Li BT et al., J Clin Oncol. 2018 08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6">
              <w:r>
                <w:rPr>
                  <w:sz w:val="20"/>
                  <w:rStyle w:val="Hyperlink"/>
                </w:rPr>
                <w:t xml:space="preserve">31563805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Novel HER2-Targeting Antibody-Drug Conjugates of Trastuzumab Beyond T-DM1 in Breast Cancer: Trastuzumab Deruxtecan(DS-8201a) and (Vic-)Trastuzumab Duocarmazine (SYD985).</w:t>
            </w:r>
            <w:r>
              <w:rPr>
                <w:color w:val="404040" w:themeColor="text1" w:themeTint="BF"/>
                <w:sz w:val="20"/>
                <w:szCs w:val="20"/>
              </w:rPr>
              <w:t xml:space="preserve"> </w:t>
            </w:r>
            <w:r w:rsidRPr="00D90DD4">
              <w:rPr>
                <w:i/>
                <w:color w:val="767171" w:themeColor="background2" w:themeShade="80"/>
                <w:sz w:val="20"/>
                <w:szCs w:val="20"/>
              </w:rPr>
              <w:t xml:space="preserve">Xu Z et al., Eur J Med Chem. 2019 Dec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7">
              <w:r>
                <w:rPr>
                  <w:sz w:val="20"/>
                  <w:rStyle w:val="Hyperlink"/>
                </w:rPr>
                <w:t xml:space="preserve">34534430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Trastuzumab Deruxtecan in HER2-Mutant Non-Small-Cell Lung Cancer.</w:t>
            </w:r>
            <w:r>
              <w:rPr>
                <w:color w:val="404040" w:themeColor="text1" w:themeTint="BF"/>
                <w:sz w:val="20"/>
                <w:szCs w:val="20"/>
              </w:rPr>
              <w:t xml:space="preserve"> </w:t>
            </w:r>
            <w:r w:rsidRPr="00D90DD4">
              <w:rPr>
                <w:i/>
                <w:color w:val="767171" w:themeColor="background2" w:themeShade="80"/>
                <w:sz w:val="20"/>
                <w:szCs w:val="20"/>
              </w:rPr>
              <w:t xml:space="preserve">Li BT et al., N Engl J Med. 2022 01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8">
              <w:r>
                <w:rPr>
                  <w:sz w:val="20"/>
                  <w:rStyle w:val="Hyperlink"/>
                </w:rPr>
                <w:t xml:space="preserve">16775247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HER2 mutation and response to trastuzumab therapy in non-small-cell lung cancer.</w:t>
            </w:r>
            <w:r>
              <w:rPr>
                <w:color w:val="404040" w:themeColor="text1" w:themeTint="BF"/>
                <w:sz w:val="20"/>
                <w:szCs w:val="20"/>
              </w:rPr>
              <w:t xml:space="preserve"> </w:t>
            </w:r>
            <w:r w:rsidRPr="00D90DD4">
              <w:rPr>
                <w:i/>
                <w:color w:val="767171" w:themeColor="background2" w:themeShade="80"/>
                <w:sz w:val="20"/>
                <w:szCs w:val="20"/>
              </w:rPr>
              <w:t xml:space="preserve">Cappuzzo F et al., N Engl J Med. 2006 Jun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39">
              <w:r>
                <w:rPr>
                  <w:sz w:val="20"/>
                  <w:rStyle w:val="Hyperlink"/>
                </w:rPr>
                <w:t xml:space="preserve">33687763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Atezolizumab and Durvalumab in Combination with Platinum-Based Chemotherapy in Extensive Stage Small Cell Lung Cancer.</w:t>
            </w:r>
            <w:r>
              <w:rPr>
                <w:color w:val="404040" w:themeColor="text1" w:themeTint="BF"/>
                <w:sz w:val="20"/>
                <w:szCs w:val="20"/>
              </w:rPr>
              <w:t xml:space="preserve"> </w:t>
            </w:r>
            <w:r w:rsidRPr="00D90DD4">
              <w:rPr>
                <w:i/>
                <w:color w:val="767171" w:themeColor="background2" w:themeShade="80"/>
                <w:sz w:val="20"/>
                <w:szCs w:val="20"/>
              </w:rPr>
              <w:t xml:space="preserve">Mathieu L et al., Oncologist. 2021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0">
              <w:r>
                <w:rPr>
                  <w:sz w:val="20"/>
                  <w:rStyle w:val="Hyperlink"/>
                </w:rPr>
                <w:t xml:space="preserve">32764980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Update on Targeted Therapies for Advanced Non-Small Cell Lung Cancer: Durvalumab in Context.</w:t>
            </w:r>
            <w:r>
              <w:rPr>
                <w:color w:val="404040" w:themeColor="text1" w:themeTint="BF"/>
                <w:sz w:val="20"/>
                <w:szCs w:val="20"/>
              </w:rPr>
              <w:t xml:space="preserve"> </w:t>
            </w:r>
            <w:r w:rsidRPr="00D90DD4">
              <w:rPr>
                <w:i/>
                <w:color w:val="767171" w:themeColor="background2" w:themeShade="80"/>
                <w:sz w:val="20"/>
                <w:szCs w:val="20"/>
              </w:rPr>
              <w:t xml:space="preserve">Gullapalli S et al., Onco Targets Ther. 2020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1">
              <w:r>
                <w:rPr>
                  <w:sz w:val="20"/>
                  <w:rStyle w:val="Hyperlink"/>
                </w:rPr>
                <w:t xml:space="preserve">28807052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Whole-blood RNA transcript-based models can predict clinical response in two large independent clinical studies of patients with advanced melanoma treated with the checkpoint inhibitor, tremelimumab.</w:t>
            </w:r>
            <w:r>
              <w:rPr>
                <w:color w:val="404040" w:themeColor="text1" w:themeTint="BF"/>
                <w:sz w:val="20"/>
                <w:szCs w:val="20"/>
              </w:rPr>
              <w:t xml:space="preserve"> </w:t>
            </w:r>
            <w:r w:rsidRPr="00D90DD4">
              <w:rPr>
                <w:i/>
                <w:color w:val="767171" w:themeColor="background2" w:themeShade="80"/>
                <w:sz w:val="20"/>
                <w:szCs w:val="20"/>
              </w:rPr>
              <w:t xml:space="preserve">Friedlander P et al., J Immunother Cancer. 2017 08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2">
              <w:r>
                <w:rPr>
                  <w:sz w:val="20"/>
                  <w:rStyle w:val="Hyperlink"/>
                </w:rPr>
                <w:t xml:space="preserve">35671201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Phase I Study of Tremelimumab Monotherapy or in Combination With Durvalumab in Japanese Patients With Advanced Solid Tumors or Malignant Mesothelioma.</w:t>
            </w:r>
            <w:r>
              <w:rPr>
                <w:color w:val="404040" w:themeColor="text1" w:themeTint="BF"/>
                <w:sz w:val="20"/>
                <w:szCs w:val="20"/>
              </w:rPr>
              <w:t xml:space="preserve"> </w:t>
            </w:r>
            <w:r w:rsidRPr="00D90DD4">
              <w:rPr>
                <w:i/>
                <w:color w:val="767171" w:themeColor="background2" w:themeShade="80"/>
                <w:sz w:val="20"/>
                <w:szCs w:val="20"/>
              </w:rPr>
              <w:t xml:space="preserve">Fujiwara Y et al., Oncologist. 2022 Sep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3">
              <w:r>
                <w:rPr>
                  <w:sz w:val="20"/>
                  <w:rStyle w:val="Hyperlink"/>
                </w:rPr>
                <w:t xml:space="preserve">30911265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Immunological Agents Used in Cancer Treatment.</w:t>
            </w:r>
            <w:r>
              <w:rPr>
                <w:color w:val="404040" w:themeColor="text1" w:themeTint="BF"/>
                <w:sz w:val="20"/>
                <w:szCs w:val="20"/>
              </w:rPr>
              <w:t xml:space="preserve"> </w:t>
            </w:r>
            <w:r w:rsidRPr="00D90DD4">
              <w:rPr>
                <w:i/>
                <w:color w:val="767171" w:themeColor="background2" w:themeShade="80"/>
                <w:sz w:val="20"/>
                <w:szCs w:val="20"/>
              </w:rPr>
              <w:t xml:space="preserve">Simsek M et al., Eurasian J Med. 2019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4">
              <w:r>
                <w:rPr>
                  <w:sz w:val="20"/>
                  <w:rStyle w:val="Hyperlink"/>
                </w:rPr>
                <w:t xml:space="preserve">36016731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Durvalumab plus tremelimumab in unresectable hepatocellular carcinoma.</w:t>
            </w:r>
            <w:r>
              <w:rPr>
                <w:color w:val="404040" w:themeColor="text1" w:themeTint="BF"/>
                <w:sz w:val="20"/>
                <w:szCs w:val="20"/>
              </w:rPr>
              <w:t xml:space="preserve"> </w:t>
            </w:r>
            <w:r w:rsidRPr="00D90DD4">
              <w:rPr>
                <w:i/>
                <w:color w:val="767171" w:themeColor="background2" w:themeShade="80"/>
                <w:sz w:val="20"/>
                <w:szCs w:val="20"/>
              </w:rPr>
              <w:t xml:space="preserve">Kudo M, Hepatobiliary Surg Nutr. 2022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5">
              <w:r>
                <w:rPr>
                  <w:sz w:val="20"/>
                  <w:rStyle w:val="Hyperlink"/>
                </w:rPr>
                <w:t xml:space="preserve">35276342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Resistance to immune checkpoint blockade: Mechanisms, counter-acting approaches, and future directions.</w:t>
            </w:r>
            <w:r>
              <w:rPr>
                <w:color w:val="404040" w:themeColor="text1" w:themeTint="BF"/>
                <w:sz w:val="20"/>
                <w:szCs w:val="20"/>
              </w:rPr>
              <w:t xml:space="preserve"> </w:t>
            </w:r>
            <w:r w:rsidRPr="00D90DD4">
              <w:rPr>
                <w:i/>
                <w:color w:val="767171" w:themeColor="background2" w:themeShade="80"/>
                <w:sz w:val="20"/>
                <w:szCs w:val="20"/>
              </w:rPr>
              <w:t xml:space="preserve">Haddad AF et al., Semin Cancer Biol. 2022 Mar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6">
              <w:r>
                <w:rPr>
                  <w:sz w:val="20"/>
                  <w:rStyle w:val="Hyperlink"/>
                </w:rPr>
                <w:t xml:space="preserve">32396674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Emerging Therapeutic Implications of STK11 Mutation: Case Series.</w:t>
            </w:r>
            <w:r>
              <w:rPr>
                <w:color w:val="404040" w:themeColor="text1" w:themeTint="BF"/>
                <w:sz w:val="20"/>
                <w:szCs w:val="20"/>
              </w:rPr>
              <w:t xml:space="preserve"> </w:t>
            </w:r>
            <w:r w:rsidRPr="00D90DD4">
              <w:rPr>
                <w:i/>
                <w:color w:val="767171" w:themeColor="background2" w:themeShade="80"/>
                <w:sz w:val="20"/>
                <w:szCs w:val="20"/>
              </w:rPr>
              <w:t xml:space="preserve">Laderian B et al., Oncologist. 2020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7">
              <w:r>
                <w:rPr>
                  <w:sz w:val="20"/>
                  <w:rStyle w:val="Hyperlink"/>
                </w:rPr>
                <w:t xml:space="preserve">34230008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Resistance to Durvalumab and Durvalumab plus Tremelimumab Is Associated with Functional STK11 Mutations in Patients with Non-Small Cell Lung Cancer and Is Reversed by STAT3 Knockdown.</w:t>
            </w:r>
            <w:r>
              <w:rPr>
                <w:color w:val="404040" w:themeColor="text1" w:themeTint="BF"/>
                <w:sz w:val="20"/>
                <w:szCs w:val="20"/>
              </w:rPr>
              <w:t xml:space="preserve"> </w:t>
            </w:r>
            <w:r w:rsidRPr="00D90DD4">
              <w:rPr>
                <w:i/>
                <w:color w:val="767171" w:themeColor="background2" w:themeShade="80"/>
                <w:sz w:val="20"/>
                <w:szCs w:val="20"/>
              </w:rPr>
              <w:t xml:space="preserve">Pore N et al., Cancer Discov. 2021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8">
              <w:r>
                <w:rPr>
                  <w:sz w:val="20"/>
                  <w:rStyle w:val="Hyperlink"/>
                </w:rPr>
                <w:t xml:space="preserve">23493883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Afatinib: emerging next-generation tyrosine kinase inhibitor for NSCLC.</w:t>
            </w:r>
            <w:r>
              <w:rPr>
                <w:color w:val="404040" w:themeColor="text1" w:themeTint="BF"/>
                <w:sz w:val="20"/>
                <w:szCs w:val="20"/>
              </w:rPr>
              <w:t xml:space="preserve"> </w:t>
            </w:r>
            <w:r w:rsidRPr="00D90DD4">
              <w:rPr>
                <w:i/>
                <w:color w:val="767171" w:themeColor="background2" w:themeShade="80"/>
                <w:sz w:val="20"/>
                <w:szCs w:val="20"/>
              </w:rPr>
              <w:t xml:space="preserve">Nelson V et al., Onco Targets Ther. 2013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49">
              <w:r>
                <w:rPr>
                  <w:sz w:val="20"/>
                  <w:rStyle w:val="Hyperlink"/>
                </w:rPr>
                <w:t xml:space="preserve">18408761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BIBW2992, an irreversible EGFR/HER2 inhibitor highly effective in preclinical lung cancer models.</w:t>
            </w:r>
            <w:r>
              <w:rPr>
                <w:color w:val="404040" w:themeColor="text1" w:themeTint="BF"/>
                <w:sz w:val="20"/>
                <w:szCs w:val="20"/>
              </w:rPr>
              <w:t xml:space="preserve"> </w:t>
            </w:r>
            <w:r w:rsidRPr="00D90DD4">
              <w:rPr>
                <w:i/>
                <w:color w:val="767171" w:themeColor="background2" w:themeShade="80"/>
                <w:sz w:val="20"/>
                <w:szCs w:val="20"/>
              </w:rPr>
              <w:t xml:space="preserve">Li D et al., Oncogene. 2008 Aug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0">
              <w:r>
                <w:rPr>
                  <w:sz w:val="20"/>
                  <w:rStyle w:val="Hyperlink"/>
                </w:rPr>
                <w:t xml:space="preserve">28149837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Next-Generation EGFR Tyrosine Kinase Inhibitors for Treating-Mutant Lung Cancer beyond First Line.</w:t>
            </w:r>
            <w:r>
              <w:rPr>
                <w:color w:val="404040" w:themeColor="text1" w:themeTint="BF"/>
                <w:sz w:val="20"/>
                <w:szCs w:val="20"/>
              </w:rPr>
              <w:t xml:space="preserve"> </w:t>
            </w:r>
            <w:r w:rsidRPr="00D90DD4">
              <w:rPr>
                <w:i/>
                <w:color w:val="767171" w:themeColor="background2" w:themeShade="80"/>
                <w:sz w:val="20"/>
                <w:szCs w:val="20"/>
              </w:rPr>
              <w:t xml:space="preserve">Sullivan I et al., Front Med (Lausanne). 2016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1">
              <w:r>
                <w:rPr>
                  <w:sz w:val="20"/>
                  <w:rStyle w:val="Hyperlink"/>
                </w:rPr>
                <w:t xml:space="preserve">34638411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Molecular Mechanism of EGFR-TKI Resistance in-Mutated Non-Small Cell Lung Cancer: Application to Biological Diagnostic and Monitoring.</w:t>
            </w:r>
            <w:r>
              <w:rPr>
                <w:color w:val="404040" w:themeColor="text1" w:themeTint="BF"/>
                <w:sz w:val="20"/>
                <w:szCs w:val="20"/>
              </w:rPr>
              <w:t xml:space="preserve"> </w:t>
            </w:r>
            <w:r w:rsidRPr="00D90DD4">
              <w:rPr>
                <w:i/>
                <w:color w:val="767171" w:themeColor="background2" w:themeShade="80"/>
                <w:sz w:val="20"/>
                <w:szCs w:val="20"/>
              </w:rPr>
              <w:t xml:space="preserve">Reita D et al., Cancers (Basel). 2021 Sep 30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2">
              <w:r>
                <w:rPr>
                  <w:sz w:val="20"/>
                  <w:rStyle w:val="Hyperlink"/>
                </w:rPr>
                <w:t xml:space="preserve">23470965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Analysis of tumor specimens at the time of acquired resistance to EGFR-TKI therapy in 155 patients with EGFR-mutant lung cancers.</w:t>
            </w:r>
            <w:r>
              <w:rPr>
                <w:color w:val="404040" w:themeColor="text1" w:themeTint="BF"/>
                <w:sz w:val="20"/>
                <w:szCs w:val="20"/>
              </w:rPr>
              <w:t xml:space="preserve"> </w:t>
            </w:r>
            <w:r w:rsidRPr="00D90DD4">
              <w:rPr>
                <w:i/>
                <w:color w:val="767171" w:themeColor="background2" w:themeShade="80"/>
                <w:sz w:val="20"/>
                <w:szCs w:val="20"/>
              </w:rPr>
              <w:t xml:space="preserve">Yu HA et al., Clin Cancer Res. 2013 Apr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3">
              <w:r>
                <w:rPr>
                  <w:sz w:val="20"/>
                  <w:rStyle w:val="Hyperlink"/>
                </w:rPr>
                <w:t xml:space="preserve">33256089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Overcoming Immune Evasion in Melanoma.</w:t>
            </w:r>
            <w:r>
              <w:rPr>
                <w:color w:val="404040" w:themeColor="text1" w:themeTint="BF"/>
                <w:sz w:val="20"/>
                <w:szCs w:val="20"/>
              </w:rPr>
              <w:t xml:space="preserve"> </w:t>
            </w:r>
            <w:r w:rsidRPr="00D90DD4">
              <w:rPr>
                <w:i/>
                <w:color w:val="767171" w:themeColor="background2" w:themeShade="80"/>
                <w:sz w:val="20"/>
                <w:szCs w:val="20"/>
              </w:rPr>
              <w:t xml:space="preserve">Eddy K et al., Int J Mol Sci. 2020 Nov 26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4">
              <w:r>
                <w:rPr>
                  <w:sz w:val="20"/>
                  <w:rStyle w:val="Hyperlink"/>
                </w:rPr>
                <w:t xml:space="preserve">34184561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Urothelial carcinoma in the era of immune checkpoint inhibitors.</w:t>
            </w:r>
            <w:r>
              <w:rPr>
                <w:color w:val="404040" w:themeColor="text1" w:themeTint="BF"/>
                <w:sz w:val="20"/>
                <w:szCs w:val="20"/>
              </w:rPr>
              <w:t xml:space="preserve"> </w:t>
            </w:r>
            <w:r w:rsidRPr="00D90DD4">
              <w:rPr>
                <w:i/>
                <w:color w:val="767171" w:themeColor="background2" w:themeShade="80"/>
                <w:sz w:val="20"/>
                <w:szCs w:val="20"/>
              </w:rPr>
              <w:t xml:space="preserve">Khalife N et al., Immunotherapy. 2021 08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5">
              <w:r>
                <w:rPr>
                  <w:sz w:val="20"/>
                  <w:rStyle w:val="Hyperlink"/>
                </w:rPr>
                <w:t xml:space="preserve">33401585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Immune Checkpoint Inhibitors for the Treatment of Bladder Cancer.</w:t>
            </w:r>
            <w:r>
              <w:rPr>
                <w:color w:val="404040" w:themeColor="text1" w:themeTint="BF"/>
                <w:sz w:val="20"/>
                <w:szCs w:val="20"/>
              </w:rPr>
              <w:t xml:space="preserve"> </w:t>
            </w:r>
            <w:r w:rsidRPr="00D90DD4">
              <w:rPr>
                <w:i/>
                <w:color w:val="767171" w:themeColor="background2" w:themeShade="80"/>
                <w:sz w:val="20"/>
                <w:szCs w:val="20"/>
              </w:rPr>
              <w:t xml:space="preserve">Lopez-Beltran A et al., Cancers (Basel). 2021 Jan 03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6">
              <w:r>
                <w:rPr>
                  <w:sz w:val="20"/>
                  <w:rStyle w:val="Hyperlink"/>
                </w:rPr>
                <w:t xml:space="preserve">35101885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Pembrolizumab, Atezolizumab, and Cemiplimab-rwlc as Single Agents for First-Line Treatment of Advanced/Metastatic PD-L1-High NSCLC.</w:t>
            </w:r>
            <w:r>
              <w:rPr>
                <w:color w:val="404040" w:themeColor="text1" w:themeTint="BF"/>
                <w:sz w:val="20"/>
                <w:szCs w:val="20"/>
              </w:rPr>
              <w:t xml:space="preserve"> </w:t>
            </w:r>
            <w:r w:rsidRPr="00D90DD4">
              <w:rPr>
                <w:i/>
                <w:color w:val="767171" w:themeColor="background2" w:themeShade="80"/>
                <w:sz w:val="20"/>
                <w:szCs w:val="20"/>
              </w:rPr>
              <w:t xml:space="preserve">Akinboro O et al., Clin Cancer Res. 2022 06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7">
              <w:r>
                <w:rPr>
                  <w:sz w:val="20"/>
                  <w:rStyle w:val="Hyperlink"/>
                </w:rPr>
                <w:t xml:space="preserve">34104805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Immunotherapy in non-small cell lung cancer: Update and new insights.</w:t>
            </w:r>
            <w:r>
              <w:rPr>
                <w:color w:val="404040" w:themeColor="text1" w:themeTint="BF"/>
                <w:sz w:val="20"/>
                <w:szCs w:val="20"/>
              </w:rPr>
              <w:t xml:space="preserve"> </w:t>
            </w:r>
            <w:r w:rsidRPr="00D90DD4">
              <w:rPr>
                <w:i/>
                <w:color w:val="767171" w:themeColor="background2" w:themeShade="80"/>
                <w:sz w:val="20"/>
                <w:szCs w:val="20"/>
              </w:rPr>
              <w:t xml:space="preserve">Mielgo-Rubio X et al., J Clin Transl Res. 2021 Feb 25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8">
              <w:r>
                <w:rPr>
                  <w:sz w:val="20"/>
                  <w:rStyle w:val="Hyperlink"/>
                </w:rPr>
                <w:t xml:space="preserve">35062949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Combination strategies with PD-1/PD-L1 blockade: current advances and future directions.</w:t>
            </w:r>
            <w:r>
              <w:rPr>
                <w:color w:val="404040" w:themeColor="text1" w:themeTint="BF"/>
                <w:sz w:val="20"/>
                <w:szCs w:val="20"/>
              </w:rPr>
              <w:t xml:space="preserve"> </w:t>
            </w:r>
            <w:r w:rsidRPr="00D90DD4">
              <w:rPr>
                <w:i/>
                <w:color w:val="767171" w:themeColor="background2" w:themeShade="80"/>
                <w:sz w:val="20"/>
                <w:szCs w:val="20"/>
              </w:rPr>
              <w:t xml:space="preserve">Yi M et al., Mol Cancer. 2022 01 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9">
              <w:r>
                <w:rPr>
                  <w:sz w:val="20"/>
                  <w:rStyle w:val="Hyperlink"/>
                </w:rPr>
                <w:t xml:space="preserve">31829747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in combination with bevacizumab, paclitaxel and carboplatin for the first-line treatment of patients with metastatic non-squamous non-small cell lung cancer, including patients with EGFR mutations.</w:t>
            </w:r>
            <w:r>
              <w:rPr>
                <w:color w:val="404040" w:themeColor="text1" w:themeTint="BF"/>
                <w:sz w:val="20"/>
                <w:szCs w:val="20"/>
              </w:rPr>
              <w:t xml:space="preserve"> </w:t>
            </w:r>
            <w:r w:rsidRPr="00D90DD4">
              <w:rPr>
                <w:i/>
                <w:color w:val="767171" w:themeColor="background2" w:themeShade="80"/>
                <w:sz w:val="20"/>
                <w:szCs w:val="20"/>
              </w:rPr>
              <w:t xml:space="preserve">Reck M et al., Expert Rev Respir Med. 2020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0">
              <w:r>
                <w:rPr>
                  <w:sz w:val="20"/>
                  <w:rStyle w:val="Hyperlink"/>
                </w:rPr>
                <w:t xml:space="preserve">33427656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Patterns of Disease Progression after Carboplatin/Etoposide + Atezolizumab in Extensive-Stage Small-Cell Lung Cancer (ES-SCLC).</w:t>
            </w:r>
            <w:r>
              <w:rPr>
                <w:color w:val="404040" w:themeColor="text1" w:themeTint="BF"/>
                <w:sz w:val="20"/>
                <w:szCs w:val="20"/>
              </w:rPr>
              <w:t xml:space="preserve"> </w:t>
            </w:r>
            <w:r w:rsidRPr="00D90DD4">
              <w:rPr>
                <w:i/>
                <w:color w:val="767171" w:themeColor="background2" w:themeShade="80"/>
                <w:sz w:val="20"/>
                <w:szCs w:val="20"/>
              </w:rPr>
              <w:t xml:space="preserve">Higgins KA et al., Int J Radiat Oncol Biol Phys. 2020 12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1">
              <w:r>
                <w:rPr>
                  <w:sz w:val="20"/>
                  <w:rStyle w:val="Hyperlink"/>
                </w:rPr>
                <w:t xml:space="preserve">35032007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Addition of Immune Checkpoint Inhibitors to Chemotherapy vs Chemotherapy Alone as First-Line Treatment in Extensive-Stage Small-Cell Lung Carcinoma: A Systematic Review and Meta-Analysis.</w:t>
            </w:r>
            <w:r>
              <w:rPr>
                <w:color w:val="404040" w:themeColor="text1" w:themeTint="BF"/>
                <w:sz w:val="20"/>
                <w:szCs w:val="20"/>
              </w:rPr>
              <w:t xml:space="preserve"> </w:t>
            </w:r>
            <w:r w:rsidRPr="00D90DD4">
              <w:rPr>
                <w:i/>
                <w:color w:val="767171" w:themeColor="background2" w:themeShade="80"/>
                <w:sz w:val="20"/>
                <w:szCs w:val="20"/>
              </w:rPr>
              <w:t xml:space="preserve">Arriola E et al., Oncol Ther. 2022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2">
              <w:r>
                <w:rPr>
                  <w:sz w:val="20"/>
                  <w:rStyle w:val="Hyperlink"/>
                </w:rPr>
                <w:t xml:space="preserve">34956912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Role of Immune Checkpoint Blockade in the Hepatocellular Carcinoma: A Review of Clinical Trials.</w:t>
            </w:r>
            <w:r>
              <w:rPr>
                <w:color w:val="404040" w:themeColor="text1" w:themeTint="BF"/>
                <w:sz w:val="20"/>
                <w:szCs w:val="20"/>
              </w:rPr>
              <w:t xml:space="preserve"> </w:t>
            </w:r>
            <w:r w:rsidRPr="00D90DD4">
              <w:rPr>
                <w:i/>
                <w:color w:val="767171" w:themeColor="background2" w:themeShade="80"/>
                <w:sz w:val="20"/>
                <w:szCs w:val="20"/>
              </w:rPr>
              <w:t xml:space="preserve">Ozer M et al., Front Oncol.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3">
              <w:r>
                <w:rPr>
                  <w:sz w:val="20"/>
                  <w:rStyle w:val="Hyperlink"/>
                </w:rPr>
                <w:t xml:space="preserve">35081747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and bevacizumab with transarterial chemoembolization in hepatocellular carcinoma: the DEMAND trial protocol.</w:t>
            </w:r>
            <w:r>
              <w:rPr>
                <w:color w:val="404040" w:themeColor="text1" w:themeTint="BF"/>
                <w:sz w:val="20"/>
                <w:szCs w:val="20"/>
              </w:rPr>
              <w:t xml:space="preserve"> </w:t>
            </w:r>
            <w:r w:rsidRPr="00D90DD4">
              <w:rPr>
                <w:i/>
                <w:color w:val="767171" w:themeColor="background2" w:themeShade="80"/>
                <w:sz w:val="20"/>
                <w:szCs w:val="20"/>
              </w:rPr>
              <w:t xml:space="preserve">Ben Khaled N et al., Future Oncol. 2022 04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4">
              <w:r>
                <w:rPr>
                  <w:sz w:val="20"/>
                  <w:rStyle w:val="Hyperlink"/>
                </w:rPr>
                <w:t xml:space="preserve">32534646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vemurafenib, and cobimetinib as first-line treatment for unresectable advanced BRAFV600 mutation-positive melanoma (IMspire150): primary analysis of the randomised, double-blind, placebo-controlled, phase 3 trial.</w:t>
            </w:r>
            <w:r>
              <w:rPr>
                <w:color w:val="404040" w:themeColor="text1" w:themeTint="BF"/>
                <w:sz w:val="20"/>
                <w:szCs w:val="20"/>
              </w:rPr>
              <w:t xml:space="preserve"> </w:t>
            </w:r>
            <w:r w:rsidRPr="00D90DD4">
              <w:rPr>
                <w:i/>
                <w:color w:val="767171" w:themeColor="background2" w:themeShade="80"/>
                <w:sz w:val="20"/>
                <w:szCs w:val="20"/>
              </w:rPr>
              <w:t xml:space="preserve">Gutzmer R et al., Lancet. 2020 06 13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5">
              <w:r>
                <w:rPr>
                  <w:sz w:val="20"/>
                  <w:rStyle w:val="Hyperlink"/>
                </w:rPr>
                <w:t xml:space="preserve">35131452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Biomarkers of treatment benefit with atezolizumab plus vemurafenib plus cobimetinib in BRAFmutation-positive melanoma.</w:t>
            </w:r>
            <w:r>
              <w:rPr>
                <w:color w:val="404040" w:themeColor="text1" w:themeTint="BF"/>
                <w:sz w:val="20"/>
                <w:szCs w:val="20"/>
              </w:rPr>
              <w:t xml:space="preserve"> </w:t>
            </w:r>
            <w:r w:rsidRPr="00D90DD4">
              <w:rPr>
                <w:i/>
                <w:color w:val="767171" w:themeColor="background2" w:themeShade="80"/>
                <w:sz w:val="20"/>
                <w:szCs w:val="20"/>
              </w:rPr>
              <w:t xml:space="preserve">Robert C et al., Ann Oncol. 2022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6">
              <w:r>
                <w:rPr>
                  <w:sz w:val="20"/>
                  <w:rStyle w:val="Hyperlink"/>
                </w:rPr>
                <w:t xml:space="preserve">11970755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role of vascular endothelial growth factor (VEGF) in tumor angiogenesis and early clinical development of VEGF-receptor kinase inhibitors.</w:t>
            </w:r>
            <w:r>
              <w:rPr>
                <w:color w:val="404040" w:themeColor="text1" w:themeTint="BF"/>
                <w:sz w:val="20"/>
                <w:szCs w:val="20"/>
              </w:rPr>
              <w:t xml:space="preserve"> </w:t>
            </w:r>
            <w:r w:rsidRPr="00D90DD4">
              <w:rPr>
                <w:i/>
                <w:color w:val="767171" w:themeColor="background2" w:themeShade="80"/>
                <w:sz w:val="20"/>
                <w:szCs w:val="20"/>
              </w:rPr>
              <w:t xml:space="preserve">Verheul HM et al., Clin Breast Cancer. 2000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7">
              <w:r>
                <w:rPr>
                  <w:sz w:val="20"/>
                  <w:rStyle w:val="Hyperlink"/>
                </w:rPr>
                <w:t xml:space="preserve">25568148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Practical management of bevacizumab-related toxicities in glioblastoma.</w:t>
            </w:r>
            <w:r>
              <w:rPr>
                <w:color w:val="404040" w:themeColor="text1" w:themeTint="BF"/>
                <w:sz w:val="20"/>
                <w:szCs w:val="20"/>
              </w:rPr>
              <w:t xml:space="preserve"> </w:t>
            </w:r>
            <w:r w:rsidRPr="00D90DD4">
              <w:rPr>
                <w:i/>
                <w:color w:val="767171" w:themeColor="background2" w:themeShade="80"/>
                <w:sz w:val="20"/>
                <w:szCs w:val="20"/>
              </w:rPr>
              <w:t xml:space="preserve">Brandes AA et al., Oncologist. 2015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8">
              <w:r>
                <w:rPr>
                  <w:sz w:val="20"/>
                  <w:rStyle w:val="Hyperlink"/>
                </w:rPr>
                <w:t xml:space="preserve">17212999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an angiogenesis inhibitor for the treatment of solid malignancies.</w:t>
            </w:r>
            <w:r>
              <w:rPr>
                <w:color w:val="404040" w:themeColor="text1" w:themeTint="BF"/>
                <w:sz w:val="20"/>
                <w:szCs w:val="20"/>
              </w:rPr>
              <w:t xml:space="preserve"> </w:t>
            </w:r>
            <w:r w:rsidRPr="00D90DD4">
              <w:rPr>
                <w:i/>
                <w:color w:val="767171" w:themeColor="background2" w:themeShade="80"/>
                <w:sz w:val="20"/>
                <w:szCs w:val="20"/>
              </w:rPr>
              <w:t xml:space="preserve">Shih T et al., Clin Ther. 2006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9">
              <w:r>
                <w:rPr>
                  <w:sz w:val="20"/>
                  <w:rStyle w:val="Hyperlink"/>
                </w:rPr>
                <w:t xml:space="preserve">19897538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drug approval summary: bevacizumab (Avastin) as treatment of recurrent glioblastoma multiforme.</w:t>
            </w:r>
            <w:r>
              <w:rPr>
                <w:color w:val="404040" w:themeColor="text1" w:themeTint="BF"/>
                <w:sz w:val="20"/>
                <w:szCs w:val="20"/>
              </w:rPr>
              <w:t xml:space="preserve"> </w:t>
            </w:r>
            <w:r w:rsidRPr="00D90DD4">
              <w:rPr>
                <w:i/>
                <w:color w:val="767171" w:themeColor="background2" w:themeShade="80"/>
                <w:sz w:val="20"/>
                <w:szCs w:val="20"/>
              </w:rPr>
              <w:t xml:space="preserve">Cohen MH et al., Oncologist. 2009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0">
              <w:r>
                <w:rPr>
                  <w:sz w:val="20"/>
                  <w:rStyle w:val="Hyperlink"/>
                </w:rPr>
                <w:t xml:space="preserve">27748633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safety and efficacy of bevacizumab in the treatment of patients with recurrent or metastatic cervical cancer.</w:t>
            </w:r>
            <w:r>
              <w:rPr>
                <w:color w:val="404040" w:themeColor="text1" w:themeTint="BF"/>
                <w:sz w:val="20"/>
                <w:szCs w:val="20"/>
              </w:rPr>
              <w:t xml:space="preserve"> </w:t>
            </w:r>
            <w:r w:rsidRPr="00D90DD4">
              <w:rPr>
                <w:i/>
                <w:color w:val="767171" w:themeColor="background2" w:themeShade="80"/>
                <w:sz w:val="20"/>
                <w:szCs w:val="20"/>
              </w:rPr>
              <w:t xml:space="preserve">Minion LE et al., Expert Rev Anticancer Ther. 2017 Mar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1">
              <w:r>
                <w:rPr>
                  <w:sz w:val="20"/>
                  <w:rStyle w:val="Hyperlink"/>
                </w:rPr>
                <w:t xml:space="preserve">15901587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in combination chemotherapy for colorectal and other cancers.</w:t>
            </w:r>
            <w:r>
              <w:rPr>
                <w:color w:val="404040" w:themeColor="text1" w:themeTint="BF"/>
                <w:sz w:val="20"/>
                <w:szCs w:val="20"/>
              </w:rPr>
              <w:t xml:space="preserve"> </w:t>
            </w:r>
            <w:r w:rsidRPr="00D90DD4">
              <w:rPr>
                <w:i/>
                <w:color w:val="767171" w:themeColor="background2" w:themeShade="80"/>
                <w:sz w:val="20"/>
                <w:szCs w:val="20"/>
              </w:rPr>
              <w:t xml:space="preserve">Motl S, Am J Health Syst Pharm. 2005 May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2">
              <w:r>
                <w:rPr>
                  <w:sz w:val="20"/>
                  <w:rStyle w:val="Hyperlink"/>
                </w:rPr>
                <w:t xml:space="preserve">20061402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drug approval summary: bevacizumab plus interferon for advanced renal cell carcinoma.</w:t>
            </w:r>
            <w:r>
              <w:rPr>
                <w:color w:val="404040" w:themeColor="text1" w:themeTint="BF"/>
                <w:sz w:val="20"/>
                <w:szCs w:val="20"/>
              </w:rPr>
              <w:t xml:space="preserve"> </w:t>
            </w:r>
            <w:r w:rsidRPr="00D90DD4">
              <w:rPr>
                <w:i/>
                <w:color w:val="767171" w:themeColor="background2" w:themeShade="80"/>
                <w:sz w:val="20"/>
                <w:szCs w:val="20"/>
              </w:rPr>
              <w:t xml:space="preserve">Summers J et al., Oncologist. 2010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3">
              <w:r>
                <w:rPr>
                  <w:sz w:val="20"/>
                  <w:rStyle w:val="Hyperlink"/>
                </w:rPr>
                <w:t xml:space="preserve">24687829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Patient-reported outcome results from the open-label phase III AURELIA trial evaluating bevacizumab-containing therapy for platinum-resistant ovarian cancer.</w:t>
            </w:r>
            <w:r>
              <w:rPr>
                <w:color w:val="404040" w:themeColor="text1" w:themeTint="BF"/>
                <w:sz w:val="20"/>
                <w:szCs w:val="20"/>
              </w:rPr>
              <w:t xml:space="preserve"> </w:t>
            </w:r>
            <w:r w:rsidRPr="00D90DD4">
              <w:rPr>
                <w:i/>
                <w:color w:val="767171" w:themeColor="background2" w:themeShade="80"/>
                <w:sz w:val="20"/>
                <w:szCs w:val="20"/>
              </w:rPr>
              <w:t xml:space="preserve">Stockler MR et al., J Clin Oncol. 2014 May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4">
              <w:r>
                <w:rPr>
                  <w:sz w:val="20"/>
                  <w:rStyle w:val="Hyperlink"/>
                </w:rPr>
                <w:t xml:space="preserve">28438473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and paclitaxel-carboplatin chemotherapy and secondary cytoreduction in recurrent, platinum-sensitive ovarian cancer (NRG Oncology/Gynecologic Oncology Group study GOG-0213): a multicentre, open-label, randomised, phase 3 trial.</w:t>
            </w:r>
            <w:r>
              <w:rPr>
                <w:color w:val="404040" w:themeColor="text1" w:themeTint="BF"/>
                <w:sz w:val="20"/>
                <w:szCs w:val="20"/>
              </w:rPr>
              <w:t xml:space="preserve"> </w:t>
            </w:r>
            <w:r w:rsidRPr="00D90DD4">
              <w:rPr>
                <w:i/>
                <w:color w:val="767171" w:themeColor="background2" w:themeShade="80"/>
                <w:sz w:val="20"/>
                <w:szCs w:val="20"/>
              </w:rPr>
              <w:t xml:space="preserve">Coleman RL et al., Lancet Oncol. 2017 06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5">
              <w:r>
                <w:rPr>
                  <w:sz w:val="20"/>
                  <w:rStyle w:val="Hyperlink"/>
                </w:rPr>
                <w:t xml:space="preserve">32305099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and platinum-based combinations for recurrent ovarian cancer: a randomised, open-label, phase 3 trial.</w:t>
            </w:r>
            <w:r>
              <w:rPr>
                <w:color w:val="404040" w:themeColor="text1" w:themeTint="BF"/>
                <w:sz w:val="20"/>
                <w:szCs w:val="20"/>
              </w:rPr>
              <w:t xml:space="preserve"> </w:t>
            </w:r>
            <w:r w:rsidRPr="00D90DD4">
              <w:rPr>
                <w:i/>
                <w:color w:val="767171" w:themeColor="background2" w:themeShade="80"/>
                <w:sz w:val="20"/>
                <w:szCs w:val="20"/>
              </w:rPr>
              <w:t xml:space="preserve">Pfisterer J et al., Lancet Oncol. 2020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6">
              <w:r>
                <w:rPr>
                  <w:sz w:val="20"/>
                  <w:rStyle w:val="Hyperlink"/>
                </w:rPr>
                <w:t xml:space="preserve">22204724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Incorporation of bevacizumab in the primary treatment of ovarian cancer.</w:t>
            </w:r>
            <w:r>
              <w:rPr>
                <w:color w:val="404040" w:themeColor="text1" w:themeTint="BF"/>
                <w:sz w:val="20"/>
                <w:szCs w:val="20"/>
              </w:rPr>
              <w:t xml:space="preserve"> </w:t>
            </w:r>
            <w:r w:rsidRPr="00D90DD4">
              <w:rPr>
                <w:i/>
                <w:color w:val="767171" w:themeColor="background2" w:themeShade="80"/>
                <w:sz w:val="20"/>
                <w:szCs w:val="20"/>
              </w:rPr>
              <w:t xml:space="preserve">Burger RA et al., N Engl J Med. 2011 Dec 29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7">
              <w:r>
                <w:rPr>
                  <w:sz w:val="20"/>
                  <w:rStyle w:val="Hyperlink"/>
                </w:rPr>
                <w:t xml:space="preserve">31216226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Final Overall Survival of a Randomized Trial of Bevacizumab for Primary Treatment of Ovarian Cancer.</w:t>
            </w:r>
            <w:r>
              <w:rPr>
                <w:color w:val="404040" w:themeColor="text1" w:themeTint="BF"/>
                <w:sz w:val="20"/>
                <w:szCs w:val="20"/>
              </w:rPr>
              <w:t xml:space="preserve"> </w:t>
            </w:r>
            <w:r w:rsidRPr="00D90DD4">
              <w:rPr>
                <w:i/>
                <w:color w:val="767171" w:themeColor="background2" w:themeShade="80"/>
                <w:sz w:val="20"/>
                <w:szCs w:val="20"/>
              </w:rPr>
              <w:t xml:space="preserve">Tewari KS et al., J Clin Oncol. 2019 09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8">
              <w:r>
                <w:rPr>
                  <w:sz w:val="20"/>
                  <w:rStyle w:val="Hyperlink"/>
                </w:rPr>
                <w:t xml:space="preserve">29863955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for First-Line Treatment of Metastatic Nonsquamous NSCLC.</w:t>
            </w:r>
            <w:r>
              <w:rPr>
                <w:color w:val="404040" w:themeColor="text1" w:themeTint="BF"/>
                <w:sz w:val="20"/>
                <w:szCs w:val="20"/>
              </w:rPr>
              <w:t xml:space="preserve"> </w:t>
            </w:r>
            <w:r w:rsidRPr="00D90DD4">
              <w:rPr>
                <w:i/>
                <w:color w:val="767171" w:themeColor="background2" w:themeShade="80"/>
                <w:sz w:val="20"/>
                <w:szCs w:val="20"/>
              </w:rPr>
              <w:t xml:space="preserve">Socinski MA et al., N Engl J Med. 2018 Jun 14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9">
              <w:r>
                <w:rPr>
                  <w:sz w:val="20"/>
                  <w:rStyle w:val="Hyperlink"/>
                </w:rPr>
                <w:t xml:space="preserve">34051880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Patient-reported outcomes with atezolizumab plus bevacizumab versus sorafenib in patients with unresectable hepatocellular carcinoma (IMbrave150): an open-label, randomised, phase 3 trial.</w:t>
            </w:r>
            <w:r>
              <w:rPr>
                <w:color w:val="404040" w:themeColor="text1" w:themeTint="BF"/>
                <w:sz w:val="20"/>
                <w:szCs w:val="20"/>
              </w:rPr>
              <w:t xml:space="preserve"> </w:t>
            </w:r>
            <w:r w:rsidRPr="00D90DD4">
              <w:rPr>
                <w:i/>
                <w:color w:val="767171" w:themeColor="background2" w:themeShade="80"/>
                <w:sz w:val="20"/>
                <w:szCs w:val="20"/>
              </w:rPr>
              <w:t xml:space="preserve">Galle PR et al., Lancet Oncol. 2021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0">
              <w:r>
                <w:rPr>
                  <w:sz w:val="20"/>
                  <w:rStyle w:val="Hyperlink"/>
                </w:rPr>
                <w:t xml:space="preserve">34189869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Characterization of response to atezolizumab + bevacizumab versus sorafenib for hepatocellular carcinoma: Results from the IMbrave150 trial.</w:t>
            </w:r>
            <w:r>
              <w:rPr>
                <w:color w:val="404040" w:themeColor="text1" w:themeTint="BF"/>
                <w:sz w:val="20"/>
                <w:szCs w:val="20"/>
              </w:rPr>
              <w:t xml:space="preserve"> </w:t>
            </w:r>
            <w:r w:rsidRPr="00D90DD4">
              <w:rPr>
                <w:i/>
                <w:color w:val="767171" w:themeColor="background2" w:themeShade="80"/>
                <w:sz w:val="20"/>
                <w:szCs w:val="20"/>
              </w:rPr>
              <w:t xml:space="preserve">Salem R et al., Cancer Med. 2021 08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1">
              <w:r>
                <w:rPr>
                  <w:sz w:val="20"/>
                  <w:rStyle w:val="Hyperlink"/>
                </w:rPr>
                <w:t xml:space="preserve">34534429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Pembrolizumab for Persistent, Recurrent, or Metastatic Cervical Cancer.</w:t>
            </w:r>
            <w:r>
              <w:rPr>
                <w:color w:val="404040" w:themeColor="text1" w:themeTint="BF"/>
                <w:sz w:val="20"/>
                <w:szCs w:val="20"/>
              </w:rPr>
              <w:t xml:space="preserve"> </w:t>
            </w:r>
            <w:r w:rsidRPr="00D90DD4">
              <w:rPr>
                <w:i/>
                <w:color w:val="767171" w:themeColor="background2" w:themeShade="80"/>
                <w:sz w:val="20"/>
                <w:szCs w:val="20"/>
              </w:rPr>
              <w:t xml:space="preserve">Colombo N et al., N Engl J Med. 2021 11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2">
              <w:r>
                <w:rPr>
                  <w:sz w:val="20"/>
                  <w:rStyle w:val="Hyperlink"/>
                </w:rPr>
                <w:t xml:space="preserve">30075697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Necitumumab in the treatment of non-small-cell lung cancer: clinical controversies.</w:t>
            </w:r>
            <w:r>
              <w:rPr>
                <w:color w:val="404040" w:themeColor="text1" w:themeTint="BF"/>
                <w:sz w:val="20"/>
                <w:szCs w:val="20"/>
              </w:rPr>
              <w:t xml:space="preserve"> </w:t>
            </w:r>
            <w:r w:rsidRPr="00D90DD4">
              <w:rPr>
                <w:i/>
                <w:color w:val="767171" w:themeColor="background2" w:themeShade="80"/>
                <w:sz w:val="20"/>
                <w:szCs w:val="20"/>
              </w:rPr>
              <w:t xml:space="preserve">di Noia V et al., Expert Opin Biol Ther. 2018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3">
              <w:r>
                <w:rPr>
                  <w:sz w:val="20"/>
                  <w:rStyle w:val="Hyperlink"/>
                </w:rPr>
                <w:t xml:space="preserve">33188892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EGFR targeting for cancer therapy: Pharmacology and immunoconjugates with drugs and nanoparticles.</w:t>
            </w:r>
            <w:r>
              <w:rPr>
                <w:color w:val="404040" w:themeColor="text1" w:themeTint="BF"/>
                <w:sz w:val="20"/>
                <w:szCs w:val="20"/>
              </w:rPr>
              <w:t xml:space="preserve"> </w:t>
            </w:r>
            <w:r w:rsidRPr="00D90DD4">
              <w:rPr>
                <w:i/>
                <w:color w:val="767171" w:themeColor="background2" w:themeShade="80"/>
                <w:sz w:val="20"/>
                <w:szCs w:val="20"/>
              </w:rPr>
              <w:t xml:space="preserve">Santos EDS et al., Int J Pharm. 2021 Jan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4">
              <w:r>
                <w:rPr>
                  <w:sz w:val="20"/>
                  <w:rStyle w:val="Hyperlink"/>
                </w:rPr>
                <w:t xml:space="preserve">20197484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phase I pharmacologic study of necitumumab (IMC-11F8), a fully human IgG1 monoclonal antibody directed against EGFR in patients with advanced solid malignancies.</w:t>
            </w:r>
            <w:r>
              <w:rPr>
                <w:color w:val="404040" w:themeColor="text1" w:themeTint="BF"/>
                <w:sz w:val="20"/>
                <w:szCs w:val="20"/>
              </w:rPr>
              <w:t xml:space="preserve"> </w:t>
            </w:r>
            <w:r w:rsidRPr="00D90DD4">
              <w:rPr>
                <w:i/>
                <w:color w:val="767171" w:themeColor="background2" w:themeShade="80"/>
                <w:sz w:val="20"/>
                <w:szCs w:val="20"/>
              </w:rPr>
              <w:t xml:space="preserve">Kuenen B et al., Clin Cancer Res. 2010 Mar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5">
              <w:r>
                <w:rPr>
                  <w:sz w:val="20"/>
                  <w:rStyle w:val="Hyperlink"/>
                </w:rPr>
                <w:t xml:space="preserve">31228284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effects of somatic mutations on EGFR interaction with anti-EGFR monoclonal antibodies: Implication for acquired resistance.</w:t>
            </w:r>
            <w:r>
              <w:rPr>
                <w:color w:val="404040" w:themeColor="text1" w:themeTint="BF"/>
                <w:sz w:val="20"/>
                <w:szCs w:val="20"/>
              </w:rPr>
              <w:t xml:space="preserve"> </w:t>
            </w:r>
            <w:r w:rsidRPr="00D90DD4">
              <w:rPr>
                <w:i/>
                <w:color w:val="767171" w:themeColor="background2" w:themeShade="80"/>
                <w:sz w:val="20"/>
                <w:szCs w:val="20"/>
              </w:rPr>
              <w:t xml:space="preserve">Tabasinezhad M et al., Proteins. 2020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6">
              <w:r>
                <w:rPr>
                  <w:sz w:val="20"/>
                  <w:rStyle w:val="Hyperlink"/>
                </w:rPr>
                <w:t xml:space="preserve">32793499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Latest Battles Between EGFR Monoclonal Antibodies and Resistant Tumor Cells.</w:t>
            </w:r>
            <w:r>
              <w:rPr>
                <w:color w:val="404040" w:themeColor="text1" w:themeTint="BF"/>
                <w:sz w:val="20"/>
                <w:szCs w:val="20"/>
              </w:rPr>
              <w:t xml:space="preserve"> </w:t>
            </w:r>
            <w:r w:rsidRPr="00D90DD4">
              <w:rPr>
                <w:i/>
                <w:color w:val="767171" w:themeColor="background2" w:themeShade="80"/>
                <w:sz w:val="20"/>
                <w:szCs w:val="20"/>
              </w:rPr>
              <w:t xml:space="preserve">Cai WQ et al., Front Oncol. 2020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7">
              <w:r>
                <w:rPr>
                  <w:sz w:val="20"/>
                  <w:rStyle w:val="Hyperlink"/>
                </w:rPr>
                <w:t xml:space="preserve">32371296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New insights into the pharmacological, immunological, and CAR-T-cell approaches in the treatment of hepatocellular carcinoma.</w:t>
            </w:r>
            <w:r>
              <w:rPr>
                <w:color w:val="404040" w:themeColor="text1" w:themeTint="BF"/>
                <w:sz w:val="20"/>
                <w:szCs w:val="20"/>
              </w:rPr>
              <w:t xml:space="preserve"> </w:t>
            </w:r>
            <w:r w:rsidRPr="00D90DD4">
              <w:rPr>
                <w:i/>
                <w:color w:val="767171" w:themeColor="background2" w:themeShade="80"/>
                <w:sz w:val="20"/>
                <w:szCs w:val="20"/>
              </w:rPr>
              <w:t xml:space="preserve">Dal Bo M et al., Drug Resist Updat. 2020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8">
              <w:r>
                <w:rPr>
                  <w:sz w:val="20"/>
                  <w:rStyle w:val="Hyperlink"/>
                </w:rPr>
                <w:t xml:space="preserve">24094768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monotherapy for previously treated advanced gastric or gastro-oesophageal junction adenocarcinoma (REGARD): an international, randomised, multicentre, placebo-controlled, phase 3 trial.</w:t>
            </w:r>
            <w:r>
              <w:rPr>
                <w:color w:val="404040" w:themeColor="text1" w:themeTint="BF"/>
                <w:sz w:val="20"/>
                <w:szCs w:val="20"/>
              </w:rPr>
              <w:t xml:space="preserve"> </w:t>
            </w:r>
            <w:r w:rsidRPr="00D90DD4">
              <w:rPr>
                <w:i/>
                <w:color w:val="767171" w:themeColor="background2" w:themeShade="80"/>
                <w:sz w:val="20"/>
                <w:szCs w:val="20"/>
              </w:rPr>
              <w:t xml:space="preserve">Fuchs CS et al., Lancet. 2014 Jan 04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9">
              <w:r>
                <w:rPr>
                  <w:sz w:val="20"/>
                  <w:rStyle w:val="Hyperlink"/>
                </w:rPr>
                <w:t xml:space="preserve">25240821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plus paclitaxel versus placebo plus paclitaxel in patients with previously treated advanced gastric or gastro-oesophageal junction adenocarcinoma (RAINBOW): a double-blind, randomised phase 3 trial.</w:t>
            </w:r>
            <w:r>
              <w:rPr>
                <w:color w:val="404040" w:themeColor="text1" w:themeTint="BF"/>
                <w:sz w:val="20"/>
                <w:szCs w:val="20"/>
              </w:rPr>
              <w:t xml:space="preserve"> </w:t>
            </w:r>
            <w:r w:rsidRPr="00D90DD4">
              <w:rPr>
                <w:i/>
                <w:color w:val="767171" w:themeColor="background2" w:themeShade="80"/>
                <w:sz w:val="20"/>
                <w:szCs w:val="20"/>
              </w:rPr>
              <w:t xml:space="preserve">Wilke H et al., Lancet Oncol. 2014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0">
              <w:r>
                <w:rPr>
                  <w:sz w:val="20"/>
                  <w:rStyle w:val="Hyperlink"/>
                </w:rPr>
                <w:t xml:space="preserve">25877855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versus placebo in combination with second-line FOLFIRI in patients with metastatic colorectal carcinoma that progressed during or after first-line therapy with bevacizumab, oxaliplatin, and a fluoropyrimidine (RAISE): a randomised, double-blind, multicentre, phase 3 study.</w:t>
            </w:r>
            <w:r>
              <w:rPr>
                <w:color w:val="404040" w:themeColor="text1" w:themeTint="BF"/>
                <w:sz w:val="20"/>
                <w:szCs w:val="20"/>
              </w:rPr>
              <w:t xml:space="preserve"> </w:t>
            </w:r>
            <w:r w:rsidRPr="00D90DD4">
              <w:rPr>
                <w:i/>
                <w:color w:val="767171" w:themeColor="background2" w:themeShade="80"/>
                <w:sz w:val="20"/>
                <w:szCs w:val="20"/>
              </w:rPr>
              <w:t xml:space="preserve">Tabernero J et al., Lancet Oncol. 2015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1">
              <w:r>
                <w:rPr>
                  <w:sz w:val="20"/>
                  <w:rStyle w:val="Hyperlink"/>
                </w:rPr>
                <w:t xml:space="preserve">31591063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plus erlotinib in patients with untreated, EGFR-mutated, advanced non-small-cell lung cancer (RELAY): a randomised, double-blind, placebo-controlled, phase 3 trial.</w:t>
            </w:r>
            <w:r>
              <w:rPr>
                <w:color w:val="404040" w:themeColor="text1" w:themeTint="BF"/>
                <w:sz w:val="20"/>
                <w:szCs w:val="20"/>
              </w:rPr>
              <w:t xml:space="preserve"> </w:t>
            </w:r>
            <w:r w:rsidRPr="00D90DD4">
              <w:rPr>
                <w:i/>
                <w:color w:val="767171" w:themeColor="background2" w:themeShade="80"/>
                <w:sz w:val="20"/>
                <w:szCs w:val="20"/>
              </w:rPr>
              <w:t xml:space="preserve">Nakagawa K et al., Lancet Oncol. 2019 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2">
              <w:r>
                <w:rPr>
                  <w:sz w:val="20"/>
                  <w:rStyle w:val="Hyperlink"/>
                </w:rPr>
                <w:t xml:space="preserve">23803182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Targeted inhibition of VEGF receptor 2: an update on ramucirumab.</w:t>
            </w:r>
            <w:r>
              <w:rPr>
                <w:color w:val="404040" w:themeColor="text1" w:themeTint="BF"/>
                <w:sz w:val="20"/>
                <w:szCs w:val="20"/>
              </w:rPr>
              <w:t xml:space="preserve"> </w:t>
            </w:r>
            <w:r w:rsidRPr="00D90DD4">
              <w:rPr>
                <w:i/>
                <w:color w:val="767171" w:themeColor="background2" w:themeShade="80"/>
                <w:sz w:val="20"/>
                <w:szCs w:val="20"/>
              </w:rPr>
              <w:t xml:space="preserve">Clarke JM et al., Expert Opin Biol Ther. 2013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3">
              <w:r>
                <w:rPr>
                  <w:sz w:val="20"/>
                  <w:rStyle w:val="Hyperlink"/>
                </w:rPr>
                <w:t xml:space="preserve">23881668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first global approval.</w:t>
            </w:r>
            <w:r>
              <w:rPr>
                <w:color w:val="404040" w:themeColor="text1" w:themeTint="BF"/>
                <w:sz w:val="20"/>
                <w:szCs w:val="20"/>
              </w:rPr>
              <w:t xml:space="preserve"> </w:t>
            </w:r>
            <w:r w:rsidRPr="00D90DD4">
              <w:rPr>
                <w:i/>
                <w:color w:val="767171" w:themeColor="background2" w:themeShade="80"/>
                <w:sz w:val="20"/>
                <w:szCs w:val="20"/>
              </w:rPr>
              <w:t xml:space="preserve">Ballantyne AD et al., Drugs. 2013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4">
              <w:r>
                <w:rPr>
                  <w:sz w:val="20"/>
                  <w:rStyle w:val="Hyperlink"/>
                </w:rPr>
                <w:t xml:space="preserve">22735384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in BRAF-mutated metastatic melanoma: a multicentre, open-label, phase 3 randomised controlled trial.</w:t>
            </w:r>
            <w:r>
              <w:rPr>
                <w:color w:val="404040" w:themeColor="text1" w:themeTint="BF"/>
                <w:sz w:val="20"/>
                <w:szCs w:val="20"/>
              </w:rPr>
              <w:t xml:space="preserve"> </w:t>
            </w:r>
            <w:r w:rsidRPr="00D90DD4">
              <w:rPr>
                <w:i/>
                <w:color w:val="767171" w:themeColor="background2" w:themeShade="80"/>
                <w:sz w:val="20"/>
                <w:szCs w:val="20"/>
              </w:rPr>
              <w:t xml:space="preserve">Hauschild A et al., Lancet. 2012 Jul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5">
              <w:r>
                <w:rPr>
                  <w:sz w:val="20"/>
                  <w:rStyle w:val="Hyperlink"/>
                </w:rPr>
                <w:t xml:space="preserve">24583796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and trametinib, alone and in combination for BRAF-mutant metastatic melanoma.</w:t>
            </w:r>
            <w:r>
              <w:rPr>
                <w:color w:val="404040" w:themeColor="text1" w:themeTint="BF"/>
                <w:sz w:val="20"/>
                <w:szCs w:val="20"/>
              </w:rPr>
              <w:t xml:space="preserve"> </w:t>
            </w:r>
            <w:r w:rsidRPr="00D90DD4">
              <w:rPr>
                <w:i/>
                <w:color w:val="767171" w:themeColor="background2" w:themeShade="80"/>
                <w:sz w:val="20"/>
                <w:szCs w:val="20"/>
              </w:rPr>
              <w:t xml:space="preserve">Menzies AM et al., Clin Cancer Res. 2014 Apr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6">
              <w:r>
                <w:rPr>
                  <w:sz w:val="20"/>
                  <w:rStyle w:val="Hyperlink"/>
                </w:rPr>
                <w:t xml:space="preserve">28475671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plus trametinib versus dabrafenib monotherapy in patients with metastatic BRAF V600E/K-mutant melanoma: long-term survival and safety analysis of a phase 3 study.</w:t>
            </w:r>
            <w:r>
              <w:rPr>
                <w:color w:val="404040" w:themeColor="text1" w:themeTint="BF"/>
                <w:sz w:val="20"/>
                <w:szCs w:val="20"/>
              </w:rPr>
              <w:t xml:space="preserve"> </w:t>
            </w:r>
            <w:r w:rsidRPr="00D90DD4">
              <w:rPr>
                <w:i/>
                <w:color w:val="767171" w:themeColor="background2" w:themeShade="80"/>
                <w:sz w:val="20"/>
                <w:szCs w:val="20"/>
              </w:rPr>
              <w:t xml:space="preserve">Long GV et al., Ann Oncol. 2017 Jul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7">
              <w:r>
                <w:rPr>
                  <w:sz w:val="20"/>
                  <w:rStyle w:val="Hyperlink"/>
                </w:rPr>
                <w:t xml:space="preserve">28891408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Adjuvant Dabrafenib plus Trametinib in Stage III BRAF-Mutated Melanoma.</w:t>
            </w:r>
            <w:r>
              <w:rPr>
                <w:color w:val="404040" w:themeColor="text1" w:themeTint="BF"/>
                <w:sz w:val="20"/>
                <w:szCs w:val="20"/>
              </w:rPr>
              <w:t xml:space="preserve"> </w:t>
            </w:r>
            <w:r w:rsidRPr="00D90DD4">
              <w:rPr>
                <w:i/>
                <w:color w:val="767171" w:themeColor="background2" w:themeShade="80"/>
                <w:sz w:val="20"/>
                <w:szCs w:val="20"/>
              </w:rPr>
              <w:t xml:space="preserve">Long GV et al., N Engl J Med. 2017 11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8">
              <w:r>
                <w:rPr>
                  <w:sz w:val="20"/>
                  <w:rStyle w:val="Hyperlink"/>
                </w:rPr>
                <w:t xml:space="preserve">29072975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Dabrafenib and Trametinib Treatment in Patients With Locally Advanced or Metastatic BRAF V600-Mutant Anaplastic Thyroid Cancer.</w:t>
            </w:r>
            <w:r>
              <w:rPr>
                <w:color w:val="404040" w:themeColor="text1" w:themeTint="BF"/>
                <w:sz w:val="20"/>
                <w:szCs w:val="20"/>
              </w:rPr>
              <w:t xml:space="preserve"> </w:t>
            </w:r>
            <w:r w:rsidRPr="00D90DD4">
              <w:rPr>
                <w:i/>
                <w:color w:val="767171" w:themeColor="background2" w:themeShade="80"/>
                <w:sz w:val="20"/>
                <w:szCs w:val="20"/>
              </w:rPr>
              <w:t xml:space="preserve">Subbiah V et al., J Clin Oncol. 2018 01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9">
              <w:r>
                <w:rPr>
                  <w:sz w:val="20"/>
                  <w:rStyle w:val="Hyperlink"/>
                </w:rPr>
                <w:t xml:space="preserve">22131348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Resistance to BRAF inhibitors: unraveling mechanisms and future treatment options.</w:t>
            </w:r>
            <w:r>
              <w:rPr>
                <w:color w:val="404040" w:themeColor="text1" w:themeTint="BF"/>
                <w:sz w:val="20"/>
                <w:szCs w:val="20"/>
              </w:rPr>
              <w:t xml:space="preserve"> </w:t>
            </w:r>
            <w:r w:rsidRPr="00D90DD4">
              <w:rPr>
                <w:i/>
                <w:color w:val="767171" w:themeColor="background2" w:themeShade="80"/>
                <w:sz w:val="20"/>
                <w:szCs w:val="20"/>
              </w:rPr>
              <w:t xml:space="preserve">Villanueva J et al., Cancer Res. 2011 Dec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0">
              <w:r>
                <w:rPr>
                  <w:sz w:val="20"/>
                  <w:rStyle w:val="Hyperlink"/>
                </w:rPr>
                <w:t xml:space="preserve">24265153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genetic landscape of clinical resistance to RAF inhibition in metastatic melanoma.</w:t>
            </w:r>
            <w:r>
              <w:rPr>
                <w:color w:val="404040" w:themeColor="text1" w:themeTint="BF"/>
                <w:sz w:val="20"/>
                <w:szCs w:val="20"/>
              </w:rPr>
              <w:t xml:space="preserve"> </w:t>
            </w:r>
            <w:r w:rsidRPr="00D90DD4">
              <w:rPr>
                <w:i/>
                <w:color w:val="767171" w:themeColor="background2" w:themeShade="80"/>
                <w:sz w:val="20"/>
                <w:szCs w:val="20"/>
              </w:rPr>
              <w:t xml:space="preserve">Van Allen EM et al., Cancer Discov. 2014 Jan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1">
              <w:r>
                <w:rPr>
                  <w:sz w:val="20"/>
                  <w:rStyle w:val="Hyperlink"/>
                </w:rPr>
                <w:t xml:space="preserve">24670642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Reversible and adaptive resistance to BRAF(V600E) inhibition in melanoma.</w:t>
            </w:r>
            <w:r>
              <w:rPr>
                <w:color w:val="404040" w:themeColor="text1" w:themeTint="BF"/>
                <w:sz w:val="20"/>
                <w:szCs w:val="20"/>
              </w:rPr>
              <w:t xml:space="preserve"> </w:t>
            </w:r>
            <w:r w:rsidRPr="00D90DD4">
              <w:rPr>
                <w:i/>
                <w:color w:val="767171" w:themeColor="background2" w:themeShade="80"/>
                <w:sz w:val="20"/>
                <w:szCs w:val="20"/>
              </w:rPr>
              <w:t xml:space="preserve">Sun C et al., Nature. 2014 Apr 03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2">
              <w:r>
                <w:rPr>
                  <w:sz w:val="20"/>
                  <w:rStyle w:val="Hyperlink"/>
                </w:rPr>
                <w:t xml:space="preserve">32368388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BRAF in malignant melanoma progression and metastasis: potentials and challenges.</w:t>
            </w:r>
            <w:r>
              <w:rPr>
                <w:color w:val="404040" w:themeColor="text1" w:themeTint="BF"/>
                <w:sz w:val="20"/>
                <w:szCs w:val="20"/>
              </w:rPr>
              <w:t xml:space="preserve"> </w:t>
            </w:r>
            <w:r w:rsidRPr="00D90DD4">
              <w:rPr>
                <w:i/>
                <w:color w:val="767171" w:themeColor="background2" w:themeShade="80"/>
                <w:sz w:val="20"/>
                <w:szCs w:val="20"/>
              </w:rPr>
              <w:t xml:space="preserve">Alqathama A, Am J Cancer Res. 2020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3">
              <w:r>
                <w:rPr>
                  <w:sz w:val="20"/>
                  <w:rStyle w:val="Hyperlink"/>
                </w:rPr>
                <w:t xml:space="preserve">33419275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Clinical Implications of Acquired BRAF Inhibitors Resistance in Melanoma.</w:t>
            </w:r>
            <w:r>
              <w:rPr>
                <w:color w:val="404040" w:themeColor="text1" w:themeTint="BF"/>
                <w:sz w:val="20"/>
                <w:szCs w:val="20"/>
              </w:rPr>
              <w:t xml:space="preserve"> </w:t>
            </w:r>
            <w:r w:rsidRPr="00D90DD4">
              <w:rPr>
                <w:i/>
                <w:color w:val="767171" w:themeColor="background2" w:themeShade="80"/>
                <w:sz w:val="20"/>
                <w:szCs w:val="20"/>
              </w:rPr>
              <w:t xml:space="preserve">Savoia P et al., Int J Mol Sci. 2020 Dec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4">
              <w:r>
                <w:rPr>
                  <w:sz w:val="20"/>
                  <w:rStyle w:val="Hyperlink"/>
                </w:rPr>
                <w:t xml:space="preserve">32956754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Resistance mechanisms to targeted therapy in BRAF-mutant melanoma - A mini review.</w:t>
            </w:r>
            <w:r>
              <w:rPr>
                <w:color w:val="404040" w:themeColor="text1" w:themeTint="BF"/>
                <w:sz w:val="20"/>
                <w:szCs w:val="20"/>
              </w:rPr>
              <w:t xml:space="preserve"> </w:t>
            </w:r>
            <w:r w:rsidRPr="00D90DD4">
              <w:rPr>
                <w:i/>
                <w:color w:val="767171" w:themeColor="background2" w:themeShade="80"/>
                <w:sz w:val="20"/>
                <w:szCs w:val="20"/>
              </w:rPr>
              <w:t xml:space="preserve">Tangella LP et al., Biochim Biophys Acta Gen Subj. 2021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5">
              <w:r>
                <w:rPr>
                  <w:sz w:val="20"/>
                  <w:rStyle w:val="Hyperlink"/>
                </w:rPr>
                <w:t xml:space="preserve">5452114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Ease of habituation to repeated auditory and somesthetic stimulation in the human newborn.</w:t>
            </w:r>
            <w:r>
              <w:rPr>
                <w:color w:val="404040" w:themeColor="text1" w:themeTint="BF"/>
                <w:sz w:val="20"/>
                <w:szCs w:val="20"/>
              </w:rPr>
              <w:t xml:space="preserve"> </w:t>
            </w:r>
            <w:r w:rsidRPr="00D90DD4">
              <w:rPr>
                <w:i/>
                <w:color w:val="767171" w:themeColor="background2" w:themeShade="80"/>
                <w:sz w:val="20"/>
                <w:szCs w:val="20"/>
              </w:rPr>
              <w:t xml:space="preserve">Moreau T et al., J Exp Child Psychol. 1970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6">
              <w:r>
                <w:rPr>
                  <w:sz w:val="20"/>
                  <w:rStyle w:val="Hyperlink"/>
                </w:rPr>
                <w:t xml:space="preserve">23846731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Trametinib: first global approval.</w:t>
            </w:r>
            <w:r>
              <w:rPr>
                <w:color w:val="404040" w:themeColor="text1" w:themeTint="BF"/>
                <w:sz w:val="20"/>
                <w:szCs w:val="20"/>
              </w:rPr>
              <w:t xml:space="preserve"> </w:t>
            </w:r>
            <w:r w:rsidRPr="00D90DD4">
              <w:rPr>
                <w:i/>
                <w:color w:val="767171" w:themeColor="background2" w:themeShade="80"/>
                <w:sz w:val="20"/>
                <w:szCs w:val="20"/>
              </w:rPr>
              <w:t xml:space="preserve">Wright CJ et al., Drugs. 2013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7">
              <w:r>
                <w:rPr>
                  <w:sz w:val="20"/>
                  <w:rStyle w:val="Hyperlink"/>
                </w:rPr>
                <w:t xml:space="preserve">22805292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Activity of the oral MEK inhibitor trametinib in patients with advanced melanoma: a phase 1 dose-escalation trial.</w:t>
            </w:r>
            <w:r>
              <w:rPr>
                <w:color w:val="404040" w:themeColor="text1" w:themeTint="BF"/>
                <w:sz w:val="20"/>
                <w:szCs w:val="20"/>
              </w:rPr>
              <w:t xml:space="preserve"> </w:t>
            </w:r>
            <w:r w:rsidRPr="00D90DD4">
              <w:rPr>
                <w:i/>
                <w:color w:val="767171" w:themeColor="background2" w:themeShade="80"/>
                <w:sz w:val="20"/>
                <w:szCs w:val="20"/>
              </w:rPr>
              <w:t xml:space="preserve">Falchook GS et al., Lancet Oncol. 2012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8">
              <w:r>
                <w:rPr>
                  <w:sz w:val="20"/>
                  <w:rStyle w:val="Hyperlink"/>
                </w:rPr>
                <w:t xml:space="preserve">31249721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Trametinib: A Targeted Therapy in Metastatic Melanoma.</w:t>
            </w:r>
            <w:r>
              <w:rPr>
                <w:color w:val="404040" w:themeColor="text1" w:themeTint="BF"/>
                <w:sz w:val="20"/>
                <w:szCs w:val="20"/>
              </w:rPr>
              <w:t xml:space="preserve"> </w:t>
            </w:r>
            <w:r w:rsidRPr="00D90DD4">
              <w:rPr>
                <w:i/>
                <w:color w:val="767171" w:themeColor="background2" w:themeShade="80"/>
                <w:sz w:val="20"/>
                <w:szCs w:val="20"/>
              </w:rPr>
              <w:t xml:space="preserve">Hoffner B et al., J Adv Pract Oncol. 2018 Nov-Dec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9">
              <w:r>
                <w:rPr>
                  <w:sz w:val="20"/>
                  <w:rStyle w:val="Hyperlink"/>
                </w:rPr>
                <w:t xml:space="preserve">26347206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Trametinib: a MEK inhibitor for management of metastatic melanoma.</w:t>
            </w:r>
            <w:r>
              <w:rPr>
                <w:color w:val="404040" w:themeColor="text1" w:themeTint="BF"/>
                <w:sz w:val="20"/>
                <w:szCs w:val="20"/>
              </w:rPr>
              <w:t xml:space="preserve"> </w:t>
            </w:r>
            <w:r w:rsidRPr="00D90DD4">
              <w:rPr>
                <w:i/>
                <w:color w:val="767171" w:themeColor="background2" w:themeShade="80"/>
                <w:sz w:val="20"/>
                <w:szCs w:val="20"/>
              </w:rPr>
              <w:t xml:space="preserve">Lugowska I et al., Onco Targets Ther. 2015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0">
              <w:r>
                <w:rPr>
                  <w:sz w:val="20"/>
                  <w:rStyle w:val="Hyperlink"/>
                </w:rPr>
                <w:t xml:space="preserve">30690294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Five-year outcomes from a phase 3 METRIC study in patients with BRAF V600 E/K-mutant advanced or metastatic melanoma.</w:t>
            </w:r>
            <w:r>
              <w:rPr>
                <w:color w:val="404040" w:themeColor="text1" w:themeTint="BF"/>
                <w:sz w:val="20"/>
                <w:szCs w:val="20"/>
              </w:rPr>
              <w:t xml:space="preserve"> </w:t>
            </w:r>
            <w:r w:rsidRPr="00D90DD4">
              <w:rPr>
                <w:i/>
                <w:color w:val="767171" w:themeColor="background2" w:themeShade="80"/>
                <w:sz w:val="20"/>
                <w:szCs w:val="20"/>
              </w:rPr>
              <w:t xml:space="preserve">Robert C et al., Eur J Cancer. 2019 03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1">
              <w:r>
                <w:rPr>
                  <w:sz w:val="20"/>
                  <w:rStyle w:val="Hyperlink"/>
                </w:rPr>
                <w:t xml:space="preserve">22663011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Improved survival with MEK inhibition in BRAF-mutated melanoma.</w:t>
            </w:r>
            <w:r>
              <w:rPr>
                <w:color w:val="404040" w:themeColor="text1" w:themeTint="BF"/>
                <w:sz w:val="20"/>
                <w:szCs w:val="20"/>
              </w:rPr>
              <w:t xml:space="preserve"> </w:t>
            </w:r>
            <w:r w:rsidRPr="00D90DD4">
              <w:rPr>
                <w:i/>
                <w:color w:val="767171" w:themeColor="background2" w:themeShade="80"/>
                <w:sz w:val="20"/>
                <w:szCs w:val="20"/>
              </w:rPr>
              <w:t xml:space="preserve">Flaherty KT et al., N Engl J Med. 2012 Jul 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2">
              <w:r>
                <w:rPr>
                  <w:sz w:val="20"/>
                  <w:rStyle w:val="Hyperlink"/>
                </w:rPr>
                <w:t xml:space="preserve">25265492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Combined BRAF and MEK inhibition versus BRAF inhibition alone in melanoma.</w:t>
            </w:r>
            <w:r>
              <w:rPr>
                <w:color w:val="404040" w:themeColor="text1" w:themeTint="BF"/>
                <w:sz w:val="20"/>
                <w:szCs w:val="20"/>
              </w:rPr>
              <w:t xml:space="preserve"> </w:t>
            </w:r>
            <w:r w:rsidRPr="00D90DD4">
              <w:rPr>
                <w:i/>
                <w:color w:val="767171" w:themeColor="background2" w:themeShade="80"/>
                <w:sz w:val="20"/>
                <w:szCs w:val="20"/>
              </w:rPr>
              <w:t xml:space="preserve">Long GV et al., N Engl J Med. 2014 Nov 13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3">
              <w:r>
                <w:rPr>
                  <w:sz w:val="20"/>
                  <w:rStyle w:val="Hyperlink"/>
                </w:rPr>
                <w:t xml:space="preserve">23020132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Combined BRAF and MEK inhibition in melanoma with BRAF V600 mutations.</w:t>
            </w:r>
            <w:r>
              <w:rPr>
                <w:color w:val="404040" w:themeColor="text1" w:themeTint="BF"/>
                <w:sz w:val="20"/>
                <w:szCs w:val="20"/>
              </w:rPr>
              <w:t xml:space="preserve"> </w:t>
            </w:r>
            <w:r w:rsidRPr="00D90DD4">
              <w:rPr>
                <w:i/>
                <w:color w:val="767171" w:themeColor="background2" w:themeShade="80"/>
                <w:sz w:val="20"/>
                <w:szCs w:val="20"/>
              </w:rPr>
              <w:t xml:space="preserve">Flaherty KT et al., N Engl J Med. 2012 11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4">
              <w:r>
                <w:rPr>
                  <w:sz w:val="20"/>
                  <w:rStyle w:val="Hyperlink"/>
                </w:rPr>
                <w:t xml:space="preserve">25452114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Increased MAPK reactivation in early resistance to dabrafenib/trametinib combination therapy of BRAF-mutant metastatic melanoma.</w:t>
            </w:r>
            <w:r>
              <w:rPr>
                <w:color w:val="404040" w:themeColor="text1" w:themeTint="BF"/>
                <w:sz w:val="20"/>
                <w:szCs w:val="20"/>
              </w:rPr>
              <w:t xml:space="preserve"> </w:t>
            </w:r>
            <w:r w:rsidRPr="00D90DD4">
              <w:rPr>
                <w:i/>
                <w:color w:val="767171" w:themeColor="background2" w:themeShade="80"/>
                <w:sz w:val="20"/>
                <w:szCs w:val="20"/>
              </w:rPr>
              <w:t xml:space="preserve">Long GV et al., Nat Commun. 2014 Dec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5">
              <w:r>
                <w:rPr>
                  <w:sz w:val="20"/>
                  <w:rStyle w:val="Hyperlink"/>
                </w:rPr>
                <w:t xml:space="preserve">33340965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MEK inhibitor resistance mechanisms and recent developments in combination trials.</w:t>
            </w:r>
            <w:r>
              <w:rPr>
                <w:color w:val="404040" w:themeColor="text1" w:themeTint="BF"/>
                <w:sz w:val="20"/>
                <w:szCs w:val="20"/>
              </w:rPr>
              <w:t xml:space="preserve"> </w:t>
            </w:r>
            <w:r w:rsidRPr="00D90DD4">
              <w:rPr>
                <w:i/>
                <w:color w:val="767171" w:themeColor="background2" w:themeShade="80"/>
                <w:sz w:val="20"/>
                <w:szCs w:val="20"/>
              </w:rPr>
              <w:t xml:space="preserve">Kun E et al., Cancer Treat Rev. 2021 Jan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6">
              <w:r>
                <w:rPr>
                  <w:sz w:val="20"/>
                  <w:rStyle w:val="Hyperlink"/>
                </w:rPr>
                <w:t xml:space="preserve">27028853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Comparative profiles of BRAF inhibitors: the paradox index as a predictor of clinical toxicity.</w:t>
            </w:r>
            <w:r>
              <w:rPr>
                <w:color w:val="404040" w:themeColor="text1" w:themeTint="BF"/>
                <w:sz w:val="20"/>
                <w:szCs w:val="20"/>
              </w:rPr>
              <w:t xml:space="preserve"> </w:t>
            </w:r>
            <w:r w:rsidRPr="00D90DD4">
              <w:rPr>
                <w:i/>
                <w:color w:val="767171" w:themeColor="background2" w:themeShade="80"/>
                <w:sz w:val="20"/>
                <w:szCs w:val="20"/>
              </w:rPr>
              <w:t xml:space="preserve">Adelmann CH et al., Oncotarget. 2016 May 24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7">
              <w:r>
                <w:rPr>
                  <w:sz w:val="20"/>
                  <w:rStyle w:val="Hyperlink"/>
                </w:rPr>
                <w:t xml:space="preserve">22067401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RAS mutations are associated with the development of cutaneous squamous cell tumors in patients treated with RAF inhibitors.</w:t>
            </w:r>
            <w:r>
              <w:rPr>
                <w:color w:val="404040" w:themeColor="text1" w:themeTint="BF"/>
                <w:sz w:val="20"/>
                <w:szCs w:val="20"/>
              </w:rPr>
              <w:t xml:space="preserve"> </w:t>
            </w:r>
            <w:r w:rsidRPr="00D90DD4">
              <w:rPr>
                <w:i/>
                <w:color w:val="767171" w:themeColor="background2" w:themeShade="80"/>
                <w:sz w:val="20"/>
                <w:szCs w:val="20"/>
              </w:rPr>
              <w:t xml:space="preserve">Oberholzer PA et al., J Clin Oncol. 2012 Jan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8">
              <w:r>
                <w:rPr>
                  <w:sz w:val="20"/>
                  <w:rStyle w:val="Hyperlink"/>
                </w:rPr>
                <w:t xml:space="preserve">22256804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RAS mutations in cutaneous squamous-cell carcinomas in patients treated with BRAF inhibitors.</w:t>
            </w:r>
            <w:r>
              <w:rPr>
                <w:color w:val="404040" w:themeColor="text1" w:themeTint="BF"/>
                <w:sz w:val="20"/>
                <w:szCs w:val="20"/>
              </w:rPr>
              <w:t xml:space="preserve"> </w:t>
            </w:r>
            <w:r w:rsidRPr="00D90DD4">
              <w:rPr>
                <w:i/>
                <w:color w:val="767171" w:themeColor="background2" w:themeShade="80"/>
                <w:sz w:val="20"/>
                <w:szCs w:val="20"/>
              </w:rPr>
              <w:t xml:space="preserve">Su F et al., N Engl J Med. 2012 Jan 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9">
              <w:r>
                <w:rPr>
                  <w:sz w:val="20"/>
                  <w:rStyle w:val="Hyperlink"/>
                </w:rPr>
                <w:t xml:space="preserve">20130576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RAF inhibitors prime wild-type RAF to activate the MAPK pathway and enhance growth.</w:t>
            </w:r>
            <w:r>
              <w:rPr>
                <w:color w:val="404040" w:themeColor="text1" w:themeTint="BF"/>
                <w:sz w:val="20"/>
                <w:szCs w:val="20"/>
              </w:rPr>
              <w:t xml:space="preserve"> </w:t>
            </w:r>
            <w:r w:rsidRPr="00D90DD4">
              <w:rPr>
                <w:i/>
                <w:color w:val="767171" w:themeColor="background2" w:themeShade="80"/>
                <w:sz w:val="20"/>
                <w:szCs w:val="20"/>
              </w:rPr>
              <w:t xml:space="preserve">Hatzivassiliou G et al., Nature. 2010 Mar 18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0">
              <w:r>
                <w:rPr>
                  <w:sz w:val="20"/>
                  <w:rStyle w:val="Hyperlink"/>
                </w:rPr>
                <w:t xml:space="preserve">20179705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RAF inhibitors transactivate RAF dimers and ERK signalling in cells with wild-type BRAF.</w:t>
            </w:r>
            <w:r>
              <w:rPr>
                <w:color w:val="404040" w:themeColor="text1" w:themeTint="BF"/>
                <w:sz w:val="20"/>
                <w:szCs w:val="20"/>
              </w:rPr>
              <w:t xml:space="preserve"> </w:t>
            </w:r>
            <w:r w:rsidRPr="00D90DD4">
              <w:rPr>
                <w:i/>
                <w:color w:val="767171" w:themeColor="background2" w:themeShade="80"/>
                <w:sz w:val="20"/>
                <w:szCs w:val="20"/>
              </w:rPr>
              <w:t xml:space="preserve">Poulikakos PI et al., Nature. 2010 Mar 18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1">
              <w:r>
                <w:rPr>
                  <w:sz w:val="20"/>
                  <w:rStyle w:val="Hyperlink"/>
                </w:rPr>
                <w:t xml:space="preserve">25096067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vemurafenib for treatment of unresectable or metastatic melanoma with the BRAFV600E mutation.</w:t>
            </w:r>
            <w:r>
              <w:rPr>
                <w:color w:val="404040" w:themeColor="text1" w:themeTint="BF"/>
                <w:sz w:val="20"/>
                <w:szCs w:val="20"/>
              </w:rPr>
              <w:t xml:space="preserve"> </w:t>
            </w:r>
            <w:r w:rsidRPr="00D90DD4">
              <w:rPr>
                <w:i/>
                <w:color w:val="767171" w:themeColor="background2" w:themeShade="80"/>
                <w:sz w:val="20"/>
                <w:szCs w:val="20"/>
              </w:rPr>
              <w:t xml:space="preserve">Kim G et al., Clin Cancer Res. 2014 Oct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2">
              <w:r>
                <w:rPr>
                  <w:sz w:val="20"/>
                  <w:rStyle w:val="Hyperlink"/>
                </w:rPr>
                <w:t xml:space="preserve">22356324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Survival in BRAF V600-mutant advanced melanoma treated with vemurafenib.</w:t>
            </w:r>
            <w:r>
              <w:rPr>
                <w:color w:val="404040" w:themeColor="text1" w:themeTint="BF"/>
                <w:sz w:val="20"/>
                <w:szCs w:val="20"/>
              </w:rPr>
              <w:t xml:space="preserve"> </w:t>
            </w:r>
            <w:r w:rsidRPr="00D90DD4">
              <w:rPr>
                <w:i/>
                <w:color w:val="767171" w:themeColor="background2" w:themeShade="80"/>
                <w:sz w:val="20"/>
                <w:szCs w:val="20"/>
              </w:rPr>
              <w:t xml:space="preserve">Sosman JA et al., N Engl J Med. 2012 Feb 23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3">
              <w:r>
                <w:rPr>
                  <w:sz w:val="20"/>
                  <w:rStyle w:val="Hyperlink"/>
                </w:rPr>
                <w:t xml:space="preserve">29188284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Vemurafenib for BRAF V600-Mutant Erdheim-Chester Disease and Langerhans Cell Histiocytosis: Analysis of Data From the Histology-Independent, Phase 2, Open-label VE-BASKET Study.</w:t>
            </w:r>
            <w:r>
              <w:rPr>
                <w:color w:val="404040" w:themeColor="text1" w:themeTint="BF"/>
                <w:sz w:val="20"/>
                <w:szCs w:val="20"/>
              </w:rPr>
              <w:t xml:space="preserve"> </w:t>
            </w:r>
            <w:r w:rsidRPr="00D90DD4">
              <w:rPr>
                <w:i/>
                <w:color w:val="767171" w:themeColor="background2" w:themeShade="80"/>
                <w:sz w:val="20"/>
                <w:szCs w:val="20"/>
              </w:rPr>
              <w:t xml:space="preserve">Diamond EL et al., JAMA Oncol. 2018 Mar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4">
              <w:r>
                <w:rPr>
                  <w:sz w:val="20"/>
                  <w:rStyle w:val="Hyperlink"/>
                </w:rPr>
                <w:t xml:space="preserve">30120160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Vemurafenib for the Treatment of Patients with Erdheim-Chester Disease with the BRAFV600 Mutation.</w:t>
            </w:r>
            <w:r>
              <w:rPr>
                <w:color w:val="404040" w:themeColor="text1" w:themeTint="BF"/>
                <w:sz w:val="20"/>
                <w:szCs w:val="20"/>
              </w:rPr>
              <w:t xml:space="preserve"> </w:t>
            </w:r>
            <w:r w:rsidRPr="00D90DD4">
              <w:rPr>
                <w:i/>
                <w:color w:val="767171" w:themeColor="background2" w:themeShade="80"/>
                <w:sz w:val="20"/>
                <w:szCs w:val="20"/>
              </w:rPr>
              <w:t xml:space="preserve">Oneal PA et al., Oncologist. 2018 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5">
              <w:r>
                <w:rPr>
                  <w:sz w:val="20"/>
                  <w:rStyle w:val="Hyperlink"/>
                </w:rPr>
                <w:t xml:space="preserve">25037139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Combination of vemurafenib and cobimetinib in patients with advanced BRAF(V600)-mutated melanoma: a phase 1b study.</w:t>
            </w:r>
            <w:r>
              <w:rPr>
                <w:color w:val="404040" w:themeColor="text1" w:themeTint="BF"/>
                <w:sz w:val="20"/>
                <w:szCs w:val="20"/>
              </w:rPr>
              <w:t xml:space="preserve"> </w:t>
            </w:r>
            <w:r w:rsidRPr="00D90DD4">
              <w:rPr>
                <w:i/>
                <w:color w:val="767171" w:themeColor="background2" w:themeShade="80"/>
                <w:sz w:val="20"/>
                <w:szCs w:val="20"/>
              </w:rPr>
              <w:t xml:space="preserve">Ribas A et al., Lancet Oncol. 2014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6">
              <w:r>
                <w:rPr>
                  <w:sz w:val="20"/>
                  <w:rStyle w:val="Hyperlink"/>
                </w:rPr>
                <w:t xml:space="preserve">27480103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Cobimetinib combined with vemurafenib in advanced BRAF(V600)-mutant melanoma (coBRIM): updated efficacy results from a randomised, double-blind, phase 3 trial.</w:t>
            </w:r>
            <w:r>
              <w:rPr>
                <w:color w:val="404040" w:themeColor="text1" w:themeTint="BF"/>
                <w:sz w:val="20"/>
                <w:szCs w:val="20"/>
              </w:rPr>
              <w:t xml:space="preserve"> </w:t>
            </w:r>
            <w:r w:rsidRPr="00D90DD4">
              <w:rPr>
                <w:i/>
                <w:color w:val="767171" w:themeColor="background2" w:themeShade="80"/>
                <w:sz w:val="20"/>
                <w:szCs w:val="20"/>
              </w:rPr>
              <w:t xml:space="preserve">Ascierto PA et al., Lancet Oncol. 2016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7">
              <w:r>
                <w:rPr>
                  <w:sz w:val="20"/>
                  <w:rStyle w:val="Hyperlink"/>
                </w:rPr>
                <w:t xml:space="preserve">25265494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Combined vemurafenib and cobimetinib in BRAF-mutated melanoma.</w:t>
            </w:r>
            <w:r>
              <w:rPr>
                <w:color w:val="404040" w:themeColor="text1" w:themeTint="BF"/>
                <w:sz w:val="20"/>
                <w:szCs w:val="20"/>
              </w:rPr>
              <w:t xml:space="preserve"> </w:t>
            </w:r>
            <w:r w:rsidRPr="00D90DD4">
              <w:rPr>
                <w:i/>
                <w:color w:val="767171" w:themeColor="background2" w:themeShade="80"/>
                <w:sz w:val="20"/>
                <w:szCs w:val="20"/>
              </w:rPr>
              <w:t xml:space="preserve">Larkin J et al., N Engl J Med. 2014 Nov 13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8">
              <w:r>
                <w:rPr>
                  <w:sz w:val="20"/>
                  <w:rStyle w:val="Hyperlink"/>
                </w:rPr>
                <w:t xml:space="preserve">33604667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Identification of pathways modulating vemurafenib resistance in melanoma cells via a genome-wide CRISPR/Cas9 screen.</w:t>
            </w:r>
            <w:r>
              <w:rPr>
                <w:color w:val="404040" w:themeColor="text1" w:themeTint="BF"/>
                <w:sz w:val="20"/>
                <w:szCs w:val="20"/>
              </w:rPr>
              <w:t xml:space="preserve"> </w:t>
            </w:r>
            <w:r w:rsidRPr="00D90DD4">
              <w:rPr>
                <w:i/>
                <w:color w:val="767171" w:themeColor="background2" w:themeShade="80"/>
                <w:sz w:val="20"/>
                <w:szCs w:val="20"/>
              </w:rPr>
              <w:t xml:space="preserve">Goh CJH et al., G3 (Bethesda). 2021 02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9">
              <w:r>
                <w:rPr>
                  <w:sz w:val="20"/>
                  <w:rStyle w:val="Hyperlink"/>
                </w:rPr>
                <w:t xml:space="preserve">33503393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Encorafenib Plus Cetuximab as a New Standard of Care for Previously Treated BRAF V600E-Mutant Metastatic Colorectal Cancer: Updated Survival Results and Subgroup Analyses from the BEACON Study.</w:t>
            </w:r>
            <w:r>
              <w:rPr>
                <w:color w:val="404040" w:themeColor="text1" w:themeTint="BF"/>
                <w:sz w:val="20"/>
                <w:szCs w:val="20"/>
              </w:rPr>
              <w:t xml:space="preserve"> </w:t>
            </w:r>
            <w:r w:rsidRPr="00D90DD4">
              <w:rPr>
                <w:i/>
                <w:color w:val="767171" w:themeColor="background2" w:themeShade="80"/>
                <w:sz w:val="20"/>
                <w:szCs w:val="20"/>
              </w:rPr>
              <w:t xml:space="preserve">Tabernero J et al., J Clin Oncol. 2021 02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0">
              <w:r>
                <w:rPr>
                  <w:sz w:val="20"/>
                  <w:rStyle w:val="Hyperlink"/>
                </w:rPr>
                <w:t xml:space="preserve">30892987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Binimetinib, Encorafenib, and Cetuximab Triplet Therapy for Patients WithV600E-Mutant Metastatic Colorectal Cancer: Safety Lead-In Results From the Phase III BEACON Colorectal Cancer Study.</w:t>
            </w:r>
            <w:r>
              <w:rPr>
                <w:color w:val="404040" w:themeColor="text1" w:themeTint="BF"/>
                <w:sz w:val="20"/>
                <w:szCs w:val="20"/>
              </w:rPr>
              <w:t xml:space="preserve"> </w:t>
            </w:r>
            <w:r w:rsidRPr="00D90DD4">
              <w:rPr>
                <w:i/>
                <w:color w:val="767171" w:themeColor="background2" w:themeShade="80"/>
                <w:sz w:val="20"/>
                <w:szCs w:val="20"/>
              </w:rPr>
              <w:t xml:space="preserve">Van Cutsem E et al., J Clin Oncol. 2019 06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1">
              <w:r>
                <w:rPr>
                  <w:sz w:val="20"/>
                  <w:rStyle w:val="Hyperlink"/>
                </w:rPr>
                <w:t xml:space="preserve">31566309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Encorafenib, Binimetinib, and Cetuximab inV600E-Mutated Colorectal Cancer.</w:t>
            </w:r>
            <w:r>
              <w:rPr>
                <w:color w:val="404040" w:themeColor="text1" w:themeTint="BF"/>
                <w:sz w:val="20"/>
                <w:szCs w:val="20"/>
              </w:rPr>
              <w:t xml:space="preserve"> </w:t>
            </w:r>
            <w:r w:rsidRPr="00D90DD4">
              <w:rPr>
                <w:i/>
                <w:color w:val="767171" w:themeColor="background2" w:themeShade="80"/>
                <w:sz w:val="20"/>
                <w:szCs w:val="20"/>
              </w:rPr>
              <w:t xml:space="preserve">Kopetz S et al., N Engl J Med. 2019 10 24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2">
              <w:r>
                <w:rPr>
                  <w:sz w:val="20"/>
                  <w:rStyle w:val="Hyperlink"/>
                </w:rPr>
                <w:t xml:space="preserve">28363909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Phase Ib Dose-Escalation Study of Encorafenib and Cetuximab with or without Alpelisib in Metastatic-Mutant Colorectal Cancer.</w:t>
            </w:r>
            <w:r>
              <w:rPr>
                <w:color w:val="404040" w:themeColor="text1" w:themeTint="BF"/>
                <w:sz w:val="20"/>
                <w:szCs w:val="20"/>
              </w:rPr>
              <w:t xml:space="preserve"> </w:t>
            </w:r>
            <w:r w:rsidRPr="00D90DD4">
              <w:rPr>
                <w:i/>
                <w:color w:val="767171" w:themeColor="background2" w:themeShade="80"/>
                <w:sz w:val="20"/>
                <w:szCs w:val="20"/>
              </w:rPr>
              <w:t xml:space="preserve">van Geel RMJM et al., Cancer Discov. 2017 06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3">
              <w:r>
                <w:rPr>
                  <w:sz w:val="20"/>
                  <w:rStyle w:val="Hyperlink"/>
                </w:rPr>
                <w:t xml:space="preserve">33204026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Mutational profiles associated with resistance in patients with BRAFV600E mutant colorectal cancer treated with cetuximab and encorafenib +/- binimetinib or alpelisib.</w:t>
            </w:r>
            <w:r>
              <w:rPr>
                <w:color w:val="404040" w:themeColor="text1" w:themeTint="BF"/>
                <w:sz w:val="20"/>
                <w:szCs w:val="20"/>
              </w:rPr>
              <w:t xml:space="preserve"> </w:t>
            </w:r>
            <w:r w:rsidRPr="00D90DD4">
              <w:rPr>
                <w:i/>
                <w:color w:val="767171" w:themeColor="background2" w:themeShade="80"/>
                <w:sz w:val="20"/>
                <w:szCs w:val="20"/>
              </w:rPr>
              <w:t xml:space="preserve">Huijberts SCFA et al., Br J Cancer. 2021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4">
              <w:r>
                <w:rPr>
                  <w:sz w:val="20"/>
                  <w:rStyle w:val="Hyperlink"/>
                </w:rPr>
                <w:t xml:space="preserve">32249628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discovery and development of binimetinib for the treatment of melanoma.</w:t>
            </w:r>
            <w:r>
              <w:rPr>
                <w:color w:val="404040" w:themeColor="text1" w:themeTint="BF"/>
                <w:sz w:val="20"/>
                <w:szCs w:val="20"/>
              </w:rPr>
              <w:t xml:space="preserve"> </w:t>
            </w:r>
            <w:r w:rsidRPr="00D90DD4">
              <w:rPr>
                <w:i/>
                <w:color w:val="767171" w:themeColor="background2" w:themeShade="80"/>
                <w:sz w:val="20"/>
                <w:szCs w:val="20"/>
              </w:rPr>
              <w:t xml:space="preserve">Tran B et al., Expert Opin Drug Discov. 2020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5">
              <w:r>
                <w:rPr>
                  <w:sz w:val="20"/>
                  <w:rStyle w:val="Hyperlink"/>
                </w:rPr>
                <w:t xml:space="preserve">30881167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How the discovery of rituximab impacted the treatment of B-cell non-Hodgkin's lymphomas.</w:t>
            </w:r>
            <w:r>
              <w:rPr>
                <w:color w:val="404040" w:themeColor="text1" w:themeTint="BF"/>
                <w:sz w:val="20"/>
                <w:szCs w:val="20"/>
              </w:rPr>
              <w:t xml:space="preserve"> </w:t>
            </w:r>
            <w:r w:rsidRPr="00D90DD4">
              <w:rPr>
                <w:i/>
                <w:color w:val="767171" w:themeColor="background2" w:themeShade="80"/>
                <w:sz w:val="20"/>
                <w:szCs w:val="20"/>
              </w:rPr>
              <w:t xml:space="preserve">Mohammed R et al., J Blood Med. 2019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6">
              <w:r>
                <w:rPr>
                  <w:sz w:val="20"/>
                  <w:rStyle w:val="Hyperlink"/>
                </w:rPr>
                <w:t xml:space="preserve">28983798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Rituximab in B-Cell Hematologic Malignancies: A Review of 20 Years of Clinical Experience.</w:t>
            </w:r>
            <w:r>
              <w:rPr>
                <w:color w:val="404040" w:themeColor="text1" w:themeTint="BF"/>
                <w:sz w:val="20"/>
                <w:szCs w:val="20"/>
              </w:rPr>
              <w:t xml:space="preserve"> </w:t>
            </w:r>
            <w:r w:rsidRPr="00D90DD4">
              <w:rPr>
                <w:i/>
                <w:color w:val="767171" w:themeColor="background2" w:themeShade="80"/>
                <w:sz w:val="20"/>
                <w:szCs w:val="20"/>
              </w:rPr>
              <w:t xml:space="preserve">Salles G et al., Adv Ther. 2017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7">
              <w:r>
                <w:rPr>
                  <w:sz w:val="20"/>
                  <w:rStyle w:val="Hyperlink"/>
                </w:rPr>
                <w:t xml:space="preserve">26443686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molecular perspective on rituximab: A monoclonal antibody for B cell non Hodgkin lymphoma and other affections.</w:t>
            </w:r>
            <w:r>
              <w:rPr>
                <w:color w:val="404040" w:themeColor="text1" w:themeTint="BF"/>
                <w:sz w:val="20"/>
                <w:szCs w:val="20"/>
              </w:rPr>
              <w:t xml:space="preserve"> </w:t>
            </w:r>
            <w:r w:rsidRPr="00D90DD4">
              <w:rPr>
                <w:i/>
                <w:color w:val="767171" w:themeColor="background2" w:themeShade="80"/>
                <w:sz w:val="20"/>
                <w:szCs w:val="20"/>
              </w:rPr>
              <w:t xml:space="preserve">Seyfizadeh N et al., Crit Rev Oncol Hematol. 2016 Jan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8">
              <w:r>
                <w:rPr>
                  <w:sz w:val="20"/>
                  <w:rStyle w:val="Hyperlink"/>
                </w:rPr>
                <w:t xml:space="preserve">24528902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Rituximab for non-Hodgkin's lymphoma: a story of rapid success in translation.</w:t>
            </w:r>
            <w:r>
              <w:rPr>
                <w:color w:val="404040" w:themeColor="text1" w:themeTint="BF"/>
                <w:sz w:val="20"/>
                <w:szCs w:val="20"/>
              </w:rPr>
              <w:t xml:space="preserve"> </w:t>
            </w:r>
            <w:r w:rsidRPr="00D90DD4">
              <w:rPr>
                <w:i/>
                <w:color w:val="767171" w:themeColor="background2" w:themeShade="80"/>
                <w:sz w:val="20"/>
                <w:szCs w:val="20"/>
              </w:rPr>
              <w:t xml:space="preserve">Harrison AM et al., Clin Transl Sci. 2014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9">
              <w:r>
                <w:rPr>
                  <w:sz w:val="20"/>
                  <w:rStyle w:val="Hyperlink"/>
                </w:rPr>
                <w:t xml:space="preserve">30096012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Anti-CD20 monoclonal antibodies: reviewing a revolution.</w:t>
            </w:r>
            <w:r>
              <w:rPr>
                <w:color w:val="404040" w:themeColor="text1" w:themeTint="BF"/>
                <w:sz w:val="20"/>
                <w:szCs w:val="20"/>
              </w:rPr>
              <w:t xml:space="preserve"> </w:t>
            </w:r>
            <w:r w:rsidRPr="00D90DD4">
              <w:rPr>
                <w:i/>
                <w:color w:val="767171" w:themeColor="background2" w:themeShade="80"/>
                <w:sz w:val="20"/>
                <w:szCs w:val="20"/>
              </w:rPr>
              <w:t xml:space="preserve">Casan JML et al., Hum Vaccin Immunother. 2018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0">
              <w:r>
                <w:rPr>
                  <w:sz w:val="20"/>
                  <w:rStyle w:val="Hyperlink"/>
                </w:rPr>
                <w:t xml:space="preserve">32296035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Advances in targeted therapy for malignant lymphoma.</w:t>
            </w:r>
            <w:r>
              <w:rPr>
                <w:color w:val="404040" w:themeColor="text1" w:themeTint="BF"/>
                <w:sz w:val="20"/>
                <w:szCs w:val="20"/>
              </w:rPr>
              <w:t xml:space="preserve"> </w:t>
            </w:r>
            <w:r w:rsidRPr="00D90DD4">
              <w:rPr>
                <w:i/>
                <w:color w:val="767171" w:themeColor="background2" w:themeShade="80"/>
                <w:sz w:val="20"/>
                <w:szCs w:val="20"/>
              </w:rPr>
              <w:t xml:space="preserve">Wang L et al., Signal Transduct Target Ther. 2020 03 06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1">
              <w:r>
                <w:rPr>
                  <w:sz w:val="20"/>
                  <w:rStyle w:val="Hyperlink"/>
                </w:rPr>
                <w:t xml:space="preserve">25882396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Chlorambucil plus ofatumumab versus chlorambucil alone in previously untreated patients with chronic lymphocytic leukaemia (COMPLEMENT 1): a randomised, multicentre, open-label phase 3 trial.</w:t>
            </w:r>
            <w:r>
              <w:rPr>
                <w:color w:val="404040" w:themeColor="text1" w:themeTint="BF"/>
                <w:sz w:val="20"/>
                <w:szCs w:val="20"/>
              </w:rPr>
              <w:t xml:space="preserve"> </w:t>
            </w:r>
            <w:r w:rsidRPr="00D90DD4">
              <w:rPr>
                <w:i/>
                <w:color w:val="767171" w:themeColor="background2" w:themeShade="80"/>
                <w:sz w:val="20"/>
                <w:szCs w:val="20"/>
              </w:rPr>
              <w:t xml:space="preserve">Hillmen P et al., Lancet. 2015 May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2">
              <w:r>
                <w:rPr>
                  <w:sz w:val="20"/>
                  <w:rStyle w:val="Hyperlink"/>
                </w:rPr>
                <w:t xml:space="preserve">26377300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Ofatumumab maintenance versus observation in relapsed chronic lymphocytic leukaemia (PROLONG): an open-label, multicentre, randomised phase 3 study.</w:t>
            </w:r>
            <w:r>
              <w:rPr>
                <w:color w:val="404040" w:themeColor="text1" w:themeTint="BF"/>
                <w:sz w:val="20"/>
                <w:szCs w:val="20"/>
              </w:rPr>
              <w:t xml:space="preserve"> </w:t>
            </w:r>
            <w:r w:rsidRPr="00D90DD4">
              <w:rPr>
                <w:i/>
                <w:color w:val="767171" w:themeColor="background2" w:themeShade="80"/>
                <w:sz w:val="20"/>
                <w:szCs w:val="20"/>
              </w:rPr>
              <w:t xml:space="preserve">van Oers MH et al., Lancet Oncol. 2015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3">
              <w:r>
                <w:rPr>
                  <w:sz w:val="20"/>
                  <w:rStyle w:val="Hyperlink"/>
                </w:rPr>
                <w:t xml:space="preserve">20601446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U.S. Food and Drug Administration approval: ofatumumab for the treatment of patients with chronic lymphocytic leukemia refractory to fludarabine and alemtuzumab.</w:t>
            </w:r>
            <w:r>
              <w:rPr>
                <w:color w:val="404040" w:themeColor="text1" w:themeTint="BF"/>
                <w:sz w:val="20"/>
                <w:szCs w:val="20"/>
              </w:rPr>
              <w:t xml:space="preserve"> </w:t>
            </w:r>
            <w:r w:rsidRPr="00D90DD4">
              <w:rPr>
                <w:i/>
                <w:color w:val="767171" w:themeColor="background2" w:themeShade="80"/>
                <w:sz w:val="20"/>
                <w:szCs w:val="20"/>
              </w:rPr>
              <w:t xml:space="preserve">Lemery SJ et al., Clin Cancer Res. 2010 Sep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4">
              <w:r>
                <w:rPr>
                  <w:sz w:val="20"/>
                  <w:rStyle w:val="Hyperlink"/>
                </w:rPr>
                <w:t xml:space="preserve">32933335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Anti-CD20 treatment for B-cell malignancies: current status and future directions.</w:t>
            </w:r>
            <w:r>
              <w:rPr>
                <w:color w:val="404040" w:themeColor="text1" w:themeTint="BF"/>
                <w:sz w:val="20"/>
                <w:szCs w:val="20"/>
              </w:rPr>
              <w:t xml:space="preserve"> </w:t>
            </w:r>
            <w:r w:rsidRPr="00D90DD4">
              <w:rPr>
                <w:i/>
                <w:color w:val="767171" w:themeColor="background2" w:themeShade="80"/>
                <w:sz w:val="20"/>
                <w:szCs w:val="20"/>
              </w:rPr>
              <w:t xml:space="preserve">Klein C et al., Expert Opin Biol Ther. 2021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5">
              <w:r>
                <w:rPr>
                  <w:sz w:val="20"/>
                  <w:rStyle w:val="Hyperlink"/>
                </w:rPr>
                <w:t xml:space="preserve">31352604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Polatuzumab Vedotin: First Global Approval.</w:t>
            </w:r>
            <w:r>
              <w:rPr>
                <w:color w:val="404040" w:themeColor="text1" w:themeTint="BF"/>
                <w:sz w:val="20"/>
                <w:szCs w:val="20"/>
              </w:rPr>
              <w:t xml:space="preserve"> </w:t>
            </w:r>
            <w:r w:rsidRPr="00D90DD4">
              <w:rPr>
                <w:i/>
                <w:color w:val="767171" w:themeColor="background2" w:themeShade="80"/>
                <w:sz w:val="20"/>
                <w:szCs w:val="20"/>
              </w:rPr>
              <w:t xml:space="preserve">Deeks ED, Drugs. 2019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6">
              <w:r>
                <w:rPr>
                  <w:sz w:val="20"/>
                  <w:rStyle w:val="Hyperlink"/>
                </w:rPr>
                <w:t xml:space="preserve">31693429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Polatuzumab Vedotin in Relapsed or Refractory Diffuse Large B-Cell Lymphoma.</w:t>
            </w:r>
            <w:r>
              <w:rPr>
                <w:color w:val="404040" w:themeColor="text1" w:themeTint="BF"/>
                <w:sz w:val="20"/>
                <w:szCs w:val="20"/>
              </w:rPr>
              <w:t xml:space="preserve"> </w:t>
            </w:r>
            <w:r w:rsidRPr="00D90DD4">
              <w:rPr>
                <w:i/>
                <w:color w:val="767171" w:themeColor="background2" w:themeShade="80"/>
                <w:sz w:val="20"/>
                <w:szCs w:val="20"/>
              </w:rPr>
              <w:t xml:space="preserve">Sehn LH et al., J Clin Oncol. 2020 01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7">
              <w:r>
                <w:rPr>
                  <w:sz w:val="20"/>
                  <w:rStyle w:val="Hyperlink"/>
                </w:rPr>
                <w:t xml:space="preserve">29856685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Phase 3 Trial of Ibrutinib plus Rituximab in Waldenström's Macroglobulinemia.</w:t>
            </w:r>
            <w:r>
              <w:rPr>
                <w:color w:val="404040" w:themeColor="text1" w:themeTint="BF"/>
                <w:sz w:val="20"/>
                <w:szCs w:val="20"/>
              </w:rPr>
              <w:t xml:space="preserve"> </w:t>
            </w:r>
            <w:r w:rsidRPr="00D90DD4">
              <w:rPr>
                <w:i/>
                <w:color w:val="767171" w:themeColor="background2" w:themeShade="80"/>
                <w:sz w:val="20"/>
                <w:szCs w:val="20"/>
              </w:rPr>
              <w:t xml:space="preserve">Dimopoulos MA et al., N Engl J Med. 2018 Jun 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8">
              <w:r>
                <w:rPr>
                  <w:sz w:val="20"/>
                  <w:rStyle w:val="Hyperlink"/>
                </w:rPr>
                <w:t xml:space="preserve">34606378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Ibrutinib Plus Rituximab Versus Placebo Plus Rituximab for Waldenström's Macroglobulinemia: Final Analysis From the Randomized Phase III iNNOVATE Study.</w:t>
            </w:r>
            <w:r>
              <w:rPr>
                <w:color w:val="404040" w:themeColor="text1" w:themeTint="BF"/>
                <w:sz w:val="20"/>
                <w:szCs w:val="20"/>
              </w:rPr>
              <w:t xml:space="preserve"> </w:t>
            </w:r>
            <w:r w:rsidRPr="00D90DD4">
              <w:rPr>
                <w:i/>
                <w:color w:val="767171" w:themeColor="background2" w:themeShade="80"/>
                <w:sz w:val="20"/>
                <w:szCs w:val="20"/>
              </w:rPr>
              <w:t xml:space="preserve">Buske C et al., J Clin Oncol. 2022 01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9">
              <w:r>
                <w:rPr>
                  <w:sz w:val="20"/>
                  <w:rStyle w:val="Hyperlink"/>
                </w:rPr>
                <w:t xml:space="preserve">30218345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 Update of Efficacy and Safety of Cetuximab in Metastatic Colorectal Cancer: A Narrative Review.</w:t>
            </w:r>
            <w:r>
              <w:rPr>
                <w:color w:val="404040" w:themeColor="text1" w:themeTint="BF"/>
                <w:sz w:val="20"/>
                <w:szCs w:val="20"/>
              </w:rPr>
              <w:t xml:space="preserve"> </w:t>
            </w:r>
            <w:r w:rsidRPr="00D90DD4">
              <w:rPr>
                <w:i/>
                <w:color w:val="767171" w:themeColor="background2" w:themeShade="80"/>
                <w:sz w:val="20"/>
                <w:szCs w:val="20"/>
              </w:rPr>
              <w:t xml:space="preserve">Fornasier G et al., Adv Ther. 2018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0">
              <w:r>
                <w:rPr>
                  <w:sz w:val="20"/>
                  <w:rStyle w:val="Hyperlink"/>
                </w:rPr>
                <w:t xml:space="preserve">31616627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Distinguishing Features of Cetuximab and Panitumumab in Colorectal Cancer and Other Solid Tumors.</w:t>
            </w:r>
            <w:r>
              <w:rPr>
                <w:color w:val="404040" w:themeColor="text1" w:themeTint="BF"/>
                <w:sz w:val="20"/>
                <w:szCs w:val="20"/>
              </w:rPr>
              <w:t xml:space="preserve"> </w:t>
            </w:r>
            <w:r w:rsidRPr="00D90DD4">
              <w:rPr>
                <w:i/>
                <w:color w:val="767171" w:themeColor="background2" w:themeShade="80"/>
                <w:sz w:val="20"/>
                <w:szCs w:val="20"/>
              </w:rPr>
              <w:t xml:space="preserve">García-Foncillas J et al., Front Oncol. 2019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1">
              <w:r>
                <w:rPr>
                  <w:sz w:val="20"/>
                  <w:rStyle w:val="Hyperlink"/>
                </w:rPr>
                <w:t xml:space="preserve">16336752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Overview of monoclonal antibodies and small molecules targeting the epidermal growth factor receptor pathway in colorectal cancer.</w:t>
            </w:r>
            <w:r>
              <w:rPr>
                <w:color w:val="404040" w:themeColor="text1" w:themeTint="BF"/>
                <w:sz w:val="20"/>
                <w:szCs w:val="20"/>
              </w:rPr>
              <w:t xml:space="preserve"> </w:t>
            </w:r>
            <w:r w:rsidRPr="00D90DD4">
              <w:rPr>
                <w:i/>
                <w:color w:val="767171" w:themeColor="background2" w:themeShade="80"/>
                <w:sz w:val="20"/>
                <w:szCs w:val="20"/>
              </w:rPr>
              <w:t xml:space="preserve">Snyder LC et al., Clin Colorectal Cancer. 2005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2">
              <w:r>
                <w:rPr>
                  <w:sz w:val="20"/>
                  <w:rStyle w:val="Hyperlink"/>
                </w:rPr>
                <w:t xml:space="preserve">15821783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Cetuximab: an epidermal growth factor receptor chemeric human-murine monoclonal antibody.</w:t>
            </w:r>
            <w:r>
              <w:rPr>
                <w:color w:val="404040" w:themeColor="text1" w:themeTint="BF"/>
                <w:sz w:val="20"/>
                <w:szCs w:val="20"/>
              </w:rPr>
              <w:t xml:space="preserve"> </w:t>
            </w:r>
            <w:r w:rsidRPr="00D90DD4">
              <w:rPr>
                <w:i/>
                <w:color w:val="767171" w:themeColor="background2" w:themeShade="80"/>
                <w:sz w:val="20"/>
                <w:szCs w:val="20"/>
              </w:rPr>
              <w:t xml:space="preserve">Harding J et al., Drugs Today (Barc). 2005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3">
              <w:r>
                <w:rPr>
                  <w:sz w:val="20"/>
                  <w:rStyle w:val="Hyperlink"/>
                </w:rPr>
                <w:t xml:space="preserve">33237690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Cetuximab Therapy and RAS andGenotype</w:t>
            </w:r>
            <w:r>
              <w:rPr>
                <w:color w:val="404040" w:themeColor="text1" w:themeTint="BF"/>
                <w:sz w:val="20"/>
                <w:szCs w:val="20"/>
              </w:rPr>
              <w:t xml:space="preserve"> </w:t>
            </w:r>
            <w:r w:rsidRPr="00D90DD4">
              <w:rPr>
                <w:i/>
                <w:color w:val="767171" w:themeColor="background2" w:themeShade="80"/>
                <w:sz w:val="20"/>
                <w:szCs w:val="20"/>
              </w:rPr>
              <w:t xml:space="preserve">Dean L et al., National Center for Biotechnology Information (US) 2012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4">
              <w:r>
                <w:rPr>
                  <w:sz w:val="20"/>
                  <w:rStyle w:val="Hyperlink"/>
                </w:rPr>
                <w:t xml:space="preserve">33833048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Improving selection of patients with metastatic colorectal cancer to benefit from cetuximab based on KIR genotypes.</w:t>
            </w:r>
            <w:r>
              <w:rPr>
                <w:color w:val="404040" w:themeColor="text1" w:themeTint="BF"/>
                <w:sz w:val="20"/>
                <w:szCs w:val="20"/>
              </w:rPr>
              <w:t xml:space="preserve"> </w:t>
            </w:r>
            <w:r w:rsidRPr="00D90DD4">
              <w:rPr>
                <w:i/>
                <w:color w:val="767171" w:themeColor="background2" w:themeShade="80"/>
                <w:sz w:val="20"/>
                <w:szCs w:val="20"/>
              </w:rPr>
              <w:t xml:space="preserve">Manzanares-Martin B et al., J Immunother Cancer. 2021 04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5">
              <w:r>
                <w:rPr>
                  <w:sz w:val="20"/>
                  <w:rStyle w:val="Hyperlink"/>
                </w:rPr>
                <w:t xml:space="preserve">33154570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FOLFIRI plus cetuximab or bevacizumab for advanced colorectal cancer: final survival and per-protocol analysis of FIRE-3, a randomised clinical trial.</w:t>
            </w:r>
            <w:r>
              <w:rPr>
                <w:color w:val="404040" w:themeColor="text1" w:themeTint="BF"/>
                <w:sz w:val="20"/>
                <w:szCs w:val="20"/>
              </w:rPr>
              <w:t xml:space="preserve"> </w:t>
            </w:r>
            <w:r w:rsidRPr="00D90DD4">
              <w:rPr>
                <w:i/>
                <w:color w:val="767171" w:themeColor="background2" w:themeShade="80"/>
                <w:sz w:val="20"/>
                <w:szCs w:val="20"/>
              </w:rPr>
              <w:t xml:space="preserve">Heinemann V et al., Br J Cancer. 2021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6">
              <w:r>
                <w:rPr>
                  <w:sz w:val="20"/>
                  <w:rStyle w:val="Hyperlink"/>
                </w:rPr>
                <w:t xml:space="preserve">34896698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Management of adverse events from the treatment of encorafenib plus cetuximab for patients with BRAF V600E-mutant metastatic colorectal cancer: insights from the BEACON CRC study.</w:t>
            </w:r>
            <w:r>
              <w:rPr>
                <w:color w:val="404040" w:themeColor="text1" w:themeTint="BF"/>
                <w:sz w:val="20"/>
                <w:szCs w:val="20"/>
              </w:rPr>
              <w:t xml:space="preserve"> </w:t>
            </w:r>
            <w:r w:rsidRPr="00D90DD4">
              <w:rPr>
                <w:i/>
                <w:color w:val="767171" w:themeColor="background2" w:themeShade="80"/>
                <w:sz w:val="20"/>
                <w:szCs w:val="20"/>
              </w:rPr>
              <w:t xml:space="preserve">Tabernero J et al., ESMO Open. 2021 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7">
              <w:r>
                <w:rPr>
                  <w:sz w:val="20"/>
                  <w:rStyle w:val="Hyperlink"/>
                </w:rPr>
                <w:t xml:space="preserve">34482179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randomized phase II study comparing the efficacy and safety of the glyco-optimized anti-EGFR antibody tomuzotuximab against cetuximab in patients with recurrent and/or metastatic squamous cell cancer of the head and neck - the RESGEX study.</w:t>
            </w:r>
            <w:r>
              <w:rPr>
                <w:color w:val="404040" w:themeColor="text1" w:themeTint="BF"/>
                <w:sz w:val="20"/>
                <w:szCs w:val="20"/>
              </w:rPr>
              <w:t xml:space="preserve"> </w:t>
            </w:r>
            <w:r w:rsidRPr="00D90DD4">
              <w:rPr>
                <w:i/>
                <w:color w:val="767171" w:themeColor="background2" w:themeShade="80"/>
                <w:sz w:val="20"/>
                <w:szCs w:val="20"/>
              </w:rPr>
              <w:t xml:space="preserve">Klinghammer K et al., ESMO Open. 2021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8">
              <w:r>
                <w:rPr>
                  <w:sz w:val="20"/>
                  <w:rStyle w:val="Hyperlink"/>
                </w:rPr>
                <w:t xml:space="preserve">34022697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Docetaxel, cisplatin and 5-FU compared with docetaxel, cisplatin and cetuximab as induction chemotherapy in advanced squamous cell carcinoma of the head and neck: Results of a randomised phase II AGMT trial.</w:t>
            </w:r>
            <w:r>
              <w:rPr>
                <w:color w:val="404040" w:themeColor="text1" w:themeTint="BF"/>
                <w:sz w:val="20"/>
                <w:szCs w:val="20"/>
              </w:rPr>
              <w:t xml:space="preserve"> </w:t>
            </w:r>
            <w:r w:rsidRPr="00D90DD4">
              <w:rPr>
                <w:i/>
                <w:color w:val="767171" w:themeColor="background2" w:themeShade="80"/>
                <w:sz w:val="20"/>
                <w:szCs w:val="20"/>
              </w:rPr>
              <w:t xml:space="preserve">Keil F et al., Eur J Cancer. 2021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9">
              <w:r>
                <w:rPr>
                  <w:sz w:val="20"/>
                  <w:rStyle w:val="Hyperlink"/>
                </w:rPr>
                <w:t xml:space="preserve">35260570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Clinical utility of PDX cohorts to reveal biomarkers of intrinsic resistance and clonal architecture changes underlying acquired resistance to cetuximab in HNSCC.</w:t>
            </w:r>
            <w:r>
              <w:rPr>
                <w:color w:val="404040" w:themeColor="text1" w:themeTint="BF"/>
                <w:sz w:val="20"/>
                <w:szCs w:val="20"/>
              </w:rPr>
              <w:t xml:space="preserve"> </w:t>
            </w:r>
            <w:r w:rsidRPr="00D90DD4">
              <w:rPr>
                <w:i/>
                <w:color w:val="767171" w:themeColor="background2" w:themeShade="80"/>
                <w:sz w:val="20"/>
                <w:szCs w:val="20"/>
              </w:rPr>
              <w:t xml:space="preserve">Yao Y et al., Signal Transduct Target Ther. 2022 03 08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0">
              <w:r>
                <w:rPr>
                  <w:sz w:val="20"/>
                  <w:rStyle w:val="Hyperlink"/>
                </w:rPr>
                <w:t xml:space="preserve">34663410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Resistance to anti-EGFR therapies in metastatic colorectal cancer: underlying mechanisms and reversal strategies.</w:t>
            </w:r>
            <w:r>
              <w:rPr>
                <w:color w:val="404040" w:themeColor="text1" w:themeTint="BF"/>
                <w:sz w:val="20"/>
                <w:szCs w:val="20"/>
              </w:rPr>
              <w:t xml:space="preserve"> </w:t>
            </w:r>
            <w:r w:rsidRPr="00D90DD4">
              <w:rPr>
                <w:i/>
                <w:color w:val="767171" w:themeColor="background2" w:themeShade="80"/>
                <w:sz w:val="20"/>
                <w:szCs w:val="20"/>
              </w:rPr>
              <w:t xml:space="preserve">Zhou J et al., J Exp Clin Cancer Res. 2021 Oct 18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1">
              <w:r>
                <w:rPr>
                  <w:sz w:val="20"/>
                  <w:rStyle w:val="Hyperlink"/>
                </w:rPr>
                <w:t xml:space="preserve">21596817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Panitumumab (vectibix).</w:t>
            </w:r>
            <w:r>
              <w:rPr>
                <w:color w:val="404040" w:themeColor="text1" w:themeTint="BF"/>
                <w:sz w:val="20"/>
                <w:szCs w:val="20"/>
              </w:rPr>
              <w:t xml:space="preserve"> </w:t>
            </w:r>
            <w:r w:rsidRPr="00D90DD4">
              <w:rPr>
                <w:i/>
                <w:color w:val="767171" w:themeColor="background2" w:themeShade="80"/>
                <w:sz w:val="20"/>
                <w:szCs w:val="20"/>
              </w:rPr>
              <w:t xml:space="preserve">Gemmete JJ et al., AJNR Am J Neuroradiol. 2011 Jun-Jul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2">
              <w:r>
                <w:rPr>
                  <w:sz w:val="20"/>
                  <w:rStyle w:val="Hyperlink"/>
                </w:rPr>
                <w:t xml:space="preserve">34152568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Panitumumab: A Review of Clinical Pharmacokinetic and Pharmacology Properties After Over a Decade of Experience in Patients with Solid Tumors.</w:t>
            </w:r>
            <w:r>
              <w:rPr>
                <w:color w:val="404040" w:themeColor="text1" w:themeTint="BF"/>
                <w:sz w:val="20"/>
                <w:szCs w:val="20"/>
              </w:rPr>
              <w:t xml:space="preserve"> </w:t>
            </w:r>
            <w:r w:rsidRPr="00D90DD4">
              <w:rPr>
                <w:i/>
                <w:color w:val="767171" w:themeColor="background2" w:themeShade="80"/>
                <w:sz w:val="20"/>
                <w:szCs w:val="20"/>
              </w:rPr>
              <w:t xml:space="preserve">Kast J et al., Adv Ther. 2021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3">
              <w:r>
                <w:rPr>
                  <w:sz w:val="20"/>
                  <w:rStyle w:val="Hyperlink"/>
                </w:rPr>
                <w:t xml:space="preserve">34533973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Panitumumab Plus Fluorouracil and Folinic Acid Versus Fluorouracil and Folinic Acid Alone as Maintenance Therapy in RAS Wild-Type Metastatic Colorectal Cancer: The Randomized PANAMA Trial (AIO KRK 0212).</w:t>
            </w:r>
            <w:r>
              <w:rPr>
                <w:color w:val="404040" w:themeColor="text1" w:themeTint="BF"/>
                <w:sz w:val="20"/>
                <w:szCs w:val="20"/>
              </w:rPr>
              <w:t xml:space="preserve"> </w:t>
            </w:r>
            <w:r w:rsidRPr="00D90DD4">
              <w:rPr>
                <w:i/>
                <w:color w:val="767171" w:themeColor="background2" w:themeShade="80"/>
                <w:sz w:val="20"/>
                <w:szCs w:val="20"/>
              </w:rPr>
              <w:t xml:space="preserve">Modest DP et al., J Clin Oncol. 2022 01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4">
              <w:r>
                <w:rPr>
                  <w:sz w:val="20"/>
                  <w:rStyle w:val="Hyperlink"/>
                </w:rPr>
                <w:t xml:space="preserve">29080924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Exploratory analyses assessing the impact of early tumour shrinkage and depth of response on survival outcomes in patients with RAS wild-type metastatic colorectal cancer receiving treatment in three randomised panitumumab trials.</w:t>
            </w:r>
            <w:r>
              <w:rPr>
                <w:color w:val="404040" w:themeColor="text1" w:themeTint="BF"/>
                <w:sz w:val="20"/>
                <w:szCs w:val="20"/>
              </w:rPr>
              <w:t xml:space="preserve"> </w:t>
            </w:r>
            <w:r w:rsidRPr="00D90DD4">
              <w:rPr>
                <w:i/>
                <w:color w:val="767171" w:themeColor="background2" w:themeShade="80"/>
                <w:sz w:val="20"/>
                <w:szCs w:val="20"/>
              </w:rPr>
              <w:t xml:space="preserve">Taieb J et al., J Cancer Res Clin Oncol. 2018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5">
              <w:r>
                <w:rPr>
                  <w:sz w:val="20"/>
                  <w:rStyle w:val="Hyperlink"/>
                </w:rPr>
                <w:t xml:space="preserve">24718886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Final results from PRIME: randomized phase III study of panitumumab with FOLFOX4 for first-line treatment of metastatic colorectal cancer.</w:t>
            </w:r>
            <w:r>
              <w:rPr>
                <w:color w:val="404040" w:themeColor="text1" w:themeTint="BF"/>
                <w:sz w:val="20"/>
                <w:szCs w:val="20"/>
              </w:rPr>
              <w:t xml:space="preserve"> </w:t>
            </w:r>
            <w:r w:rsidRPr="00D90DD4">
              <w:rPr>
                <w:i/>
                <w:color w:val="767171" w:themeColor="background2" w:themeShade="80"/>
                <w:sz w:val="20"/>
                <w:szCs w:val="20"/>
              </w:rPr>
              <w:t xml:space="preserve">Douillard JY et al., Ann Oncol. 2014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6">
              <w:r>
                <w:rPr>
                  <w:sz w:val="20"/>
                  <w:rStyle w:val="Hyperlink"/>
                </w:rPr>
                <w:t xml:space="preserve">24739896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Panitumumab versus cetuximab in patients with chemotherapy-refractory wild-type KRAS exon 2 metastatic colorectal cancer (ASPECCT): a randomised, multicentre, open-label, non-inferiority phase 3 study.</w:t>
            </w:r>
            <w:r>
              <w:rPr>
                <w:color w:val="404040" w:themeColor="text1" w:themeTint="BF"/>
                <w:sz w:val="20"/>
                <w:szCs w:val="20"/>
              </w:rPr>
              <w:t xml:space="preserve"> </w:t>
            </w:r>
            <w:r w:rsidRPr="00D90DD4">
              <w:rPr>
                <w:i/>
                <w:color w:val="767171" w:themeColor="background2" w:themeShade="80"/>
                <w:sz w:val="20"/>
                <w:szCs w:val="20"/>
              </w:rPr>
              <w:t xml:space="preserve">Price TJ et al., Lancet Oncol. 2014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7">
              <w:r>
                <w:rPr>
                  <w:sz w:val="20"/>
                  <w:rStyle w:val="Hyperlink"/>
                </w:rPr>
                <w:t xml:space="preserve">29488071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BRAF and MEK Inhibitors: Use and Resistance in BRAF-Mutated Cancers.</w:t>
            </w:r>
            <w:r>
              <w:rPr>
                <w:color w:val="404040" w:themeColor="text1" w:themeTint="BF"/>
                <w:sz w:val="20"/>
                <w:szCs w:val="20"/>
              </w:rPr>
              <w:t xml:space="preserve"> </w:t>
            </w:r>
            <w:r w:rsidRPr="00D90DD4">
              <w:rPr>
                <w:i/>
                <w:color w:val="767171" w:themeColor="background2" w:themeShade="80"/>
                <w:sz w:val="20"/>
                <w:szCs w:val="20"/>
              </w:rPr>
              <w:t xml:space="preserve">Sanchez JN et al., Drugs. 2018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8">
              <w:r>
                <w:rPr>
                  <w:sz w:val="20"/>
                  <w:rStyle w:val="Hyperlink"/>
                </w:rPr>
                <w:t xml:space="preserve">22315332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Preclinical disposition of GDC-0973 and prospective and retrospective analysis of human dose and efficacy predictions.</w:t>
            </w:r>
            <w:r>
              <w:rPr>
                <w:color w:val="404040" w:themeColor="text1" w:themeTint="BF"/>
                <w:sz w:val="20"/>
                <w:szCs w:val="20"/>
              </w:rPr>
              <w:t xml:space="preserve"> </w:t>
            </w:r>
            <w:r w:rsidRPr="00D90DD4">
              <w:rPr>
                <w:i/>
                <w:color w:val="767171" w:themeColor="background2" w:themeShade="80"/>
                <w:sz w:val="20"/>
                <w:szCs w:val="20"/>
              </w:rPr>
              <w:t xml:space="preserve">Choo EF et al., Drug Metab Dispos. 2012 May</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9">
              <w:r>
                <w:rPr>
                  <w:sz w:val="20"/>
                  <w:rStyle w:val="Hyperlink"/>
                </w:rPr>
                <w:t xml:space="preserve">29401002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Phosphatidylinositol 3-Kinase α-Selective Inhibition With Alpelisib (BYL719) in PIK3CA-Altered Solid Tumors: Results From the First-in-Human Study.</w:t>
            </w:r>
            <w:r>
              <w:rPr>
                <w:color w:val="404040" w:themeColor="text1" w:themeTint="BF"/>
                <w:sz w:val="20"/>
                <w:szCs w:val="20"/>
              </w:rPr>
              <w:t xml:space="preserve"> </w:t>
            </w:r>
            <w:r w:rsidRPr="00D90DD4">
              <w:rPr>
                <w:i/>
                <w:color w:val="767171" w:themeColor="background2" w:themeShade="80"/>
                <w:sz w:val="20"/>
                <w:szCs w:val="20"/>
              </w:rPr>
              <w:t xml:space="preserve">Juric D et al., J Clin Oncol. 2018 05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0">
              <w:r>
                <w:rPr>
                  <w:sz w:val="20"/>
                  <w:rStyle w:val="Hyperlink"/>
                </w:rPr>
                <w:t xml:space="preserve">33246021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Alpelisib plus fulvestrant for PIK3CA-mutated, hormone receptor-positive, human epidermal growth factor receptor-2-negative advanced breast cancer: final overall survival results from SOLAR-1.</w:t>
            </w:r>
            <w:r>
              <w:rPr>
                <w:color w:val="404040" w:themeColor="text1" w:themeTint="BF"/>
                <w:sz w:val="20"/>
                <w:szCs w:val="20"/>
              </w:rPr>
              <w:t xml:space="preserve"> </w:t>
            </w:r>
            <w:r w:rsidRPr="00D90DD4">
              <w:rPr>
                <w:i/>
                <w:color w:val="767171" w:themeColor="background2" w:themeShade="80"/>
                <w:sz w:val="20"/>
                <w:szCs w:val="20"/>
              </w:rPr>
              <w:t xml:space="preserve">André F et al., Ann Oncol. 2021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1">
              <w:r>
                <w:rPr>
                  <w:sz w:val="20"/>
                  <w:rStyle w:val="Hyperlink"/>
                </w:rPr>
                <w:t xml:space="preserve">33707948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Role of Alpelisib in the Treatment of PIK3CA-Mutated Breast Cancer: Patient Selection and Clinical Perspectives.</w:t>
            </w:r>
            <w:r>
              <w:rPr>
                <w:color w:val="404040" w:themeColor="text1" w:themeTint="BF"/>
                <w:sz w:val="20"/>
                <w:szCs w:val="20"/>
              </w:rPr>
              <w:t xml:space="preserve"> </w:t>
            </w:r>
            <w:r w:rsidRPr="00D90DD4">
              <w:rPr>
                <w:i/>
                <w:color w:val="767171" w:themeColor="background2" w:themeShade="80"/>
                <w:sz w:val="20"/>
                <w:szCs w:val="20"/>
              </w:rPr>
              <w:t xml:space="preserve">Chang DY et al., Ther Clin Risk Manag.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2">
              <w:r>
                <w:rPr>
                  <w:sz w:val="20"/>
                  <w:rStyle w:val="Hyperlink"/>
                </w:rPr>
                <w:t xml:space="preserve">33575071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Alpelisib: A Novel Therapy for Patients WithMutated Metastatic Breast Cancer.</w:t>
            </w:r>
            <w:r>
              <w:rPr>
                <w:color w:val="404040" w:themeColor="text1" w:themeTint="BF"/>
                <w:sz w:val="20"/>
                <w:szCs w:val="20"/>
              </w:rPr>
              <w:t xml:space="preserve"> </w:t>
            </w:r>
            <w:r w:rsidRPr="00D90DD4">
              <w:rPr>
                <w:i/>
                <w:color w:val="767171" w:themeColor="background2" w:themeShade="80"/>
                <w:sz w:val="20"/>
                <w:szCs w:val="20"/>
              </w:rPr>
              <w:t xml:space="preserve">Wilhoit T et al., J Adv Pract Oncol. 2020 Sep-Oct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3">
              <w:r>
                <w:rPr>
                  <w:sz w:val="20"/>
                  <w:rStyle w:val="Hyperlink"/>
                </w:rPr>
                <w:t xml:space="preserve">33245164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Phase II Study of Fulvestrant 500 mg as Maintenance Therapy in Hormone Receptor-Positive, Human Epidermal Growth Factor Receptor 2-Negative Patients with Advanced Breast Cancer After First-Line Chemotherapy.</w:t>
            </w:r>
            <w:r>
              <w:rPr>
                <w:color w:val="404040" w:themeColor="text1" w:themeTint="BF"/>
                <w:sz w:val="20"/>
                <w:szCs w:val="20"/>
              </w:rPr>
              <w:t xml:space="preserve"> </w:t>
            </w:r>
            <w:r w:rsidRPr="00D90DD4">
              <w:rPr>
                <w:i/>
                <w:color w:val="767171" w:themeColor="background2" w:themeShade="80"/>
                <w:sz w:val="20"/>
                <w:szCs w:val="20"/>
              </w:rPr>
              <w:t xml:space="preserve">Xu F et al., Oncologist. 2021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4">
              <w:r>
                <w:rPr>
                  <w:sz w:val="20"/>
                  <w:rStyle w:val="Hyperlink"/>
                </w:rPr>
                <w:t xml:space="preserve">15018596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Fulvestrant: a review of its use in hormone receptor-positive metastatic breast cancer in postmenopausal women with disease progression following antiestrogen therapy.</w:t>
            </w:r>
            <w:r>
              <w:rPr>
                <w:color w:val="404040" w:themeColor="text1" w:themeTint="BF"/>
                <w:sz w:val="20"/>
                <w:szCs w:val="20"/>
              </w:rPr>
              <w:t xml:space="preserve"> </w:t>
            </w:r>
            <w:r w:rsidRPr="00D90DD4">
              <w:rPr>
                <w:i/>
                <w:color w:val="767171" w:themeColor="background2" w:themeShade="80"/>
                <w:sz w:val="20"/>
                <w:szCs w:val="20"/>
              </w:rPr>
              <w:t xml:space="preserve">McKeage K et al., Drugs. 2004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5">
              <w:r>
                <w:rPr>
                  <w:sz w:val="20"/>
                  <w:rStyle w:val="Hyperlink"/>
                </w:rPr>
                <w:t xml:space="preserve">25457991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good drug made better: the fulvestrant dose-response story.</w:t>
            </w:r>
            <w:r>
              <w:rPr>
                <w:color w:val="404040" w:themeColor="text1" w:themeTint="BF"/>
                <w:sz w:val="20"/>
                <w:szCs w:val="20"/>
              </w:rPr>
              <w:t xml:space="preserve"> </w:t>
            </w:r>
            <w:r w:rsidRPr="00D90DD4">
              <w:rPr>
                <w:i/>
                <w:color w:val="767171" w:themeColor="background2" w:themeShade="80"/>
                <w:sz w:val="20"/>
                <w:szCs w:val="20"/>
              </w:rPr>
              <w:t xml:space="preserve">Robertson JF et al., Clin Breast Cancer. 2014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6">
              <w:r>
                <w:rPr>
                  <w:sz w:val="20"/>
                  <w:rStyle w:val="Hyperlink"/>
                </w:rPr>
                <w:t xml:space="preserve">32855207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Fulvestrant-Mediated Attenuation of the Innate Immune Response Decreases ER+ Breast Cancer Growth In Vivo More Effectively than Tamoxifen.</w:t>
            </w:r>
            <w:r>
              <w:rPr>
                <w:color w:val="404040" w:themeColor="text1" w:themeTint="BF"/>
                <w:sz w:val="20"/>
                <w:szCs w:val="20"/>
              </w:rPr>
              <w:t xml:space="preserve"> </w:t>
            </w:r>
            <w:r w:rsidRPr="00D90DD4">
              <w:rPr>
                <w:i/>
                <w:color w:val="767171" w:themeColor="background2" w:themeShade="80"/>
                <w:sz w:val="20"/>
                <w:szCs w:val="20"/>
              </w:rPr>
              <w:t xml:space="preserve">Abrahamsson A et al., Cancer Res. 2020 10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7">
              <w:r>
                <w:rPr>
                  <w:sz w:val="20"/>
                  <w:rStyle w:val="Hyperlink"/>
                </w:rPr>
                <w:t xml:space="preserve">14555500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Fulvestrant in postmenopausal women with advanced breast cancer.</w:t>
            </w:r>
            <w:r>
              <w:rPr>
                <w:color w:val="404040" w:themeColor="text1" w:themeTint="BF"/>
                <w:sz w:val="20"/>
                <w:szCs w:val="20"/>
              </w:rPr>
              <w:t xml:space="preserve"> </w:t>
            </w:r>
            <w:r w:rsidRPr="00D90DD4">
              <w:rPr>
                <w:i/>
                <w:color w:val="767171" w:themeColor="background2" w:themeShade="80"/>
                <w:sz w:val="20"/>
                <w:szCs w:val="20"/>
              </w:rPr>
              <w:t xml:space="preserve">Bross PF et al., Clin Cancer Res. 2003 Oct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8">
              <w:r>
                <w:rPr>
                  <w:sz w:val="20"/>
                  <w:rStyle w:val="Hyperlink"/>
                </w:rPr>
                <w:t xml:space="preserve">27908454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Fulvestrant 500 mg versus anastrozole 1 mg for hormone receptor-positive advanced breast cancer (FALCON): an international, randomised, double-blind, phase 3 trial.</w:t>
            </w:r>
            <w:r>
              <w:rPr>
                <w:color w:val="404040" w:themeColor="text1" w:themeTint="BF"/>
                <w:sz w:val="20"/>
                <w:szCs w:val="20"/>
              </w:rPr>
              <w:t xml:space="preserve"> </w:t>
            </w:r>
            <w:r w:rsidRPr="00D90DD4">
              <w:rPr>
                <w:i/>
                <w:color w:val="767171" w:themeColor="background2" w:themeShade="80"/>
                <w:sz w:val="20"/>
                <w:szCs w:val="20"/>
              </w:rPr>
              <w:t xml:space="preserve">Robertson JFR et al., Lancet. 2016 12 17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9">
              <w:r>
                <w:rPr>
                  <w:sz w:val="20"/>
                  <w:rStyle w:val="Hyperlink"/>
                </w:rPr>
                <w:t xml:space="preserve">26947331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Fulvestrant plus palbociclib versus fulvestrant plus placebo for treatment of hormone-receptor-positive, HER2-negative metastatic breast cancer that progressed on previous endocrine therapy (PALOMA-3): final analysis of the multicentre, double-blind, phase 3 randomised controlled trial.</w:t>
            </w:r>
            <w:r>
              <w:rPr>
                <w:color w:val="404040" w:themeColor="text1" w:themeTint="BF"/>
                <w:sz w:val="20"/>
                <w:szCs w:val="20"/>
              </w:rPr>
              <w:t xml:space="preserve"> </w:t>
            </w:r>
            <w:r w:rsidRPr="00D90DD4">
              <w:rPr>
                <w:i/>
                <w:color w:val="767171" w:themeColor="background2" w:themeShade="80"/>
                <w:sz w:val="20"/>
                <w:szCs w:val="20"/>
              </w:rPr>
              <w:t xml:space="preserve">Cristofanilli M et al., Lancet Oncol. 2016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0">
              <w:r>
                <w:rPr>
                  <w:sz w:val="20"/>
                  <w:rStyle w:val="Hyperlink"/>
                </w:rPr>
                <w:t xml:space="preserve">28580882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MONARCH 2: Abemaciclib in Combination With Fulvestrant in Women With HR+/HER2- Advanced Breast Cancer Who Had Progressed While Receiving Endocrine Therapy.</w:t>
            </w:r>
            <w:r>
              <w:rPr>
                <w:color w:val="404040" w:themeColor="text1" w:themeTint="BF"/>
                <w:sz w:val="20"/>
                <w:szCs w:val="20"/>
              </w:rPr>
              <w:t xml:space="preserve"> </w:t>
            </w:r>
            <w:r w:rsidRPr="00D90DD4">
              <w:rPr>
                <w:i/>
                <w:color w:val="767171" w:themeColor="background2" w:themeShade="80"/>
                <w:sz w:val="20"/>
                <w:szCs w:val="20"/>
              </w:rPr>
              <w:t xml:space="preserve">Sledge GW et al., J Clin Oncol. 2017 Sep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1">
              <w:r>
                <w:rPr>
                  <w:sz w:val="20"/>
                  <w:rStyle w:val="Hyperlink"/>
                </w:rPr>
                <w:t xml:space="preserve">29860922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Phase III Randomized Study of Ribociclib and Fulvestrant in Hormone Receptor-Positive, Human Epidermal Growth Factor Receptor 2-Negative Advanced Breast Cancer: MONALEESA-3.</w:t>
            </w:r>
            <w:r>
              <w:rPr>
                <w:color w:val="404040" w:themeColor="text1" w:themeTint="BF"/>
                <w:sz w:val="20"/>
                <w:szCs w:val="20"/>
              </w:rPr>
              <w:t xml:space="preserve"> </w:t>
            </w:r>
            <w:r w:rsidRPr="00D90DD4">
              <w:rPr>
                <w:i/>
                <w:color w:val="767171" w:themeColor="background2" w:themeShade="80"/>
                <w:sz w:val="20"/>
                <w:szCs w:val="20"/>
              </w:rPr>
              <w:t xml:space="preserve">Slamon DJ et al., J Clin Oncol. 2018 08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2">
              <w:r>
                <w:rPr>
                  <w:sz w:val="20"/>
                  <w:rStyle w:val="Hyperlink"/>
                </w:rPr>
                <w:t xml:space="preserve">20179227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w:t>
            </w:r>
            <w:r>
              <w:rPr>
                <w:color w:val="404040" w:themeColor="text1" w:themeTint="BF"/>
                <w:sz w:val="20"/>
                <w:szCs w:val="20"/>
              </w:rPr>
              <w:t xml:space="preserve"> </w:t>
            </w:r>
            <w:r w:rsidRPr="00D90DD4">
              <w:rPr>
                <w:i/>
                <w:color w:val="767171" w:themeColor="background2" w:themeShade="80"/>
                <w:sz w:val="20"/>
                <w:szCs w:val="20"/>
              </w:rPr>
              <w:t xml:space="preserve">Houghton PJ, Clin Cancer Res. 2010 Mar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3">
              <w:r>
                <w:rPr>
                  <w:sz w:val="20"/>
                  <w:rStyle w:val="Hyperlink"/>
                </w:rPr>
                <w:t xml:space="preserve">24283268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is a potent inhibitor of activated hepatic stellate cell functions in vitro and in vivo, while demonstrating anti-angiogenic activities.</w:t>
            </w:r>
            <w:r>
              <w:rPr>
                <w:color w:val="404040" w:themeColor="text1" w:themeTint="BF"/>
                <w:sz w:val="20"/>
                <w:szCs w:val="20"/>
              </w:rPr>
              <w:t xml:space="preserve"> </w:t>
            </w:r>
            <w:r w:rsidRPr="00D90DD4">
              <w:rPr>
                <w:i/>
                <w:color w:val="767171" w:themeColor="background2" w:themeShade="80"/>
                <w:sz w:val="20"/>
                <w:szCs w:val="20"/>
              </w:rPr>
              <w:t xml:space="preserve">Piguet AC et al., Clin Sci (Lond). 2014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4">
              <w:r>
                <w:rPr>
                  <w:sz w:val="20"/>
                  <w:rStyle w:val="Hyperlink"/>
                </w:rPr>
                <w:t xml:space="preserve">26330617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Cellular and molecular effects of the mTOR inhibitor everolimus.</w:t>
            </w:r>
            <w:r>
              <w:rPr>
                <w:color w:val="404040" w:themeColor="text1" w:themeTint="BF"/>
                <w:sz w:val="20"/>
                <w:szCs w:val="20"/>
              </w:rPr>
              <w:t xml:space="preserve"> </w:t>
            </w:r>
            <w:r w:rsidRPr="00D90DD4">
              <w:rPr>
                <w:i/>
                <w:color w:val="767171" w:themeColor="background2" w:themeShade="80"/>
                <w:sz w:val="20"/>
                <w:szCs w:val="20"/>
              </w:rPr>
              <w:t xml:space="preserve">Saran U et al., Clin Sci (Lond). 2015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5">
              <w:r>
                <w:rPr>
                  <w:sz w:val="20"/>
                  <w:rStyle w:val="Hyperlink"/>
                </w:rPr>
                <w:t xml:space="preserve">30554116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Therapeutic targeting of angiogenesis molecular pathways in angiogenesis-dependent diseases.</w:t>
            </w:r>
            <w:r>
              <w:rPr>
                <w:color w:val="404040" w:themeColor="text1" w:themeTint="BF"/>
                <w:sz w:val="20"/>
                <w:szCs w:val="20"/>
              </w:rPr>
              <w:t xml:space="preserve"> </w:t>
            </w:r>
            <w:r w:rsidRPr="00D90DD4">
              <w:rPr>
                <w:i/>
                <w:color w:val="767171" w:themeColor="background2" w:themeShade="80"/>
                <w:sz w:val="20"/>
                <w:szCs w:val="20"/>
              </w:rPr>
              <w:t xml:space="preserve">Fallah A et al., Biomed Pharmacother. 2019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6">
              <w:r>
                <w:rPr>
                  <w:sz w:val="20"/>
                  <w:rStyle w:val="Hyperlink"/>
                </w:rPr>
                <w:t xml:space="preserve">30848427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mTOR inhibitor Everolimus-induced apoptosis in melanoma cells.</w:t>
            </w:r>
            <w:r>
              <w:rPr>
                <w:color w:val="404040" w:themeColor="text1" w:themeTint="BF"/>
                <w:sz w:val="20"/>
                <w:szCs w:val="20"/>
              </w:rPr>
              <w:t xml:space="preserve"> </w:t>
            </w:r>
            <w:r w:rsidRPr="00D90DD4">
              <w:rPr>
                <w:i/>
                <w:color w:val="767171" w:themeColor="background2" w:themeShade="80"/>
                <w:sz w:val="20"/>
                <w:szCs w:val="20"/>
              </w:rPr>
              <w:t xml:space="preserve">Ciołczyk-Wierzbicka D et al., J Cell Commun Signal. 2019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7">
              <w:r>
                <w:rPr>
                  <w:sz w:val="20"/>
                  <w:rStyle w:val="Hyperlink"/>
                </w:rPr>
                <w:t xml:space="preserve">32770287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Immune system and angiogenesis-related potential surrogate biomarkers of response to everolimus-based treatment in hormone receptor-positive breast cancer: an exploratory study.</w:t>
            </w:r>
            <w:r>
              <w:rPr>
                <w:color w:val="404040" w:themeColor="text1" w:themeTint="BF"/>
                <w:sz w:val="20"/>
                <w:szCs w:val="20"/>
              </w:rPr>
              <w:t xml:space="preserve"> </w:t>
            </w:r>
            <w:r w:rsidRPr="00D90DD4">
              <w:rPr>
                <w:i/>
                <w:color w:val="767171" w:themeColor="background2" w:themeShade="80"/>
                <w:sz w:val="20"/>
                <w:szCs w:val="20"/>
              </w:rPr>
              <w:t xml:space="preserve">Schettini F et al., Breast Cancer Res Treat. 2020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8">
              <w:r>
                <w:rPr>
                  <w:sz w:val="20"/>
                  <w:rStyle w:val="Hyperlink"/>
                </w:rPr>
                <w:t xml:space="preserve">18653228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Efficacy of everolimus in advanced renal cell carcinoma: a double-blind, randomised, placebo-controlled phase III trial.</w:t>
            </w:r>
            <w:r>
              <w:rPr>
                <w:color w:val="404040" w:themeColor="text1" w:themeTint="BF"/>
                <w:sz w:val="20"/>
                <w:szCs w:val="20"/>
              </w:rPr>
              <w:t xml:space="preserve"> </w:t>
            </w:r>
            <w:r w:rsidRPr="00D90DD4">
              <w:rPr>
                <w:i/>
                <w:color w:val="767171" w:themeColor="background2" w:themeShade="80"/>
                <w:sz w:val="20"/>
                <w:szCs w:val="20"/>
              </w:rPr>
              <w:t xml:space="preserve">Motzer RJ et al., Lancet. 2008 Aug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9">
              <w:r>
                <w:rPr>
                  <w:sz w:val="20"/>
                  <w:rStyle w:val="Hyperlink"/>
                </w:rPr>
                <w:t xml:space="preserve">26703889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for the treatment of advanced, non-functional neuroendocrine tumours of the lung or gastrointestinal tract (RADIANT-4): a randomised, placebo-controlled, phase 3 study.</w:t>
            </w:r>
            <w:r>
              <w:rPr>
                <w:color w:val="404040" w:themeColor="text1" w:themeTint="BF"/>
                <w:sz w:val="20"/>
                <w:szCs w:val="20"/>
              </w:rPr>
              <w:t xml:space="preserve"> </w:t>
            </w:r>
            <w:r w:rsidRPr="00D90DD4">
              <w:rPr>
                <w:i/>
                <w:color w:val="767171" w:themeColor="background2" w:themeShade="80"/>
                <w:sz w:val="20"/>
                <w:szCs w:val="20"/>
              </w:rPr>
              <w:t xml:space="preserve">Yao JC et al., Lancet. 2016 Mar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0">
              <w:r>
                <w:rPr>
                  <w:sz w:val="20"/>
                  <w:rStyle w:val="Hyperlink"/>
                </w:rPr>
                <w:t xml:space="preserve">29757017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in the treatment of neuroendocrine tumors: efficacy, side-effects, resistance, and factors affecting its place in the treatment sequence.</w:t>
            </w:r>
            <w:r>
              <w:rPr>
                <w:color w:val="404040" w:themeColor="text1" w:themeTint="BF"/>
                <w:sz w:val="20"/>
                <w:szCs w:val="20"/>
              </w:rPr>
              <w:t xml:space="preserve"> </w:t>
            </w:r>
            <w:r w:rsidRPr="00D90DD4">
              <w:rPr>
                <w:i/>
                <w:color w:val="767171" w:themeColor="background2" w:themeShade="80"/>
                <w:sz w:val="20"/>
                <w:szCs w:val="20"/>
              </w:rPr>
              <w:t xml:space="preserve">Lee L et al., Expert Opin Pharmacother. 2018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1">
              <w:r>
                <w:rPr>
                  <w:sz w:val="20"/>
                  <w:rStyle w:val="Hyperlink"/>
                </w:rPr>
                <w:t xml:space="preserve">21047224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for subependymal giant-cell astrocytomas in tuberous sclerosis.</w:t>
            </w:r>
            <w:r>
              <w:rPr>
                <w:color w:val="404040" w:themeColor="text1" w:themeTint="BF"/>
                <w:sz w:val="20"/>
                <w:szCs w:val="20"/>
              </w:rPr>
              <w:t xml:space="preserve"> </w:t>
            </w:r>
            <w:r w:rsidRPr="00D90DD4">
              <w:rPr>
                <w:i/>
                <w:color w:val="767171" w:themeColor="background2" w:themeShade="80"/>
                <w:sz w:val="20"/>
                <w:szCs w:val="20"/>
              </w:rPr>
              <w:t xml:space="preserve">Krueger DA et al., N Engl J Med. 2010 Nov 04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2">
              <w:r>
                <w:rPr>
                  <w:sz w:val="20"/>
                  <w:rStyle w:val="Hyperlink"/>
                </w:rPr>
                <w:t xml:space="preserve">23325902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long-term safety and efficacy in subependymal giant cell astrocytoma.</w:t>
            </w:r>
            <w:r>
              <w:rPr>
                <w:color w:val="404040" w:themeColor="text1" w:themeTint="BF"/>
                <w:sz w:val="20"/>
                <w:szCs w:val="20"/>
              </w:rPr>
              <w:t xml:space="preserve"> </w:t>
            </w:r>
            <w:r w:rsidRPr="00D90DD4">
              <w:rPr>
                <w:i/>
                <w:color w:val="767171" w:themeColor="background2" w:themeShade="80"/>
                <w:sz w:val="20"/>
                <w:szCs w:val="20"/>
              </w:rPr>
              <w:t xml:space="preserve">Krueger DA et al., Neurology. 2013 Feb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3">
              <w:r>
                <w:rPr>
                  <w:sz w:val="20"/>
                  <w:rStyle w:val="Hyperlink"/>
                </w:rPr>
                <w:t xml:space="preserve">30169322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Adjunctive everolimus for children and adolescents with treatment-refractory seizures associated with tuberous sclerosis complex: post-hoc analysis of the phase 3 EXIST-3 trial.</w:t>
            </w:r>
            <w:r>
              <w:rPr>
                <w:color w:val="404040" w:themeColor="text1" w:themeTint="BF"/>
                <w:sz w:val="20"/>
                <w:szCs w:val="20"/>
              </w:rPr>
              <w:t xml:space="preserve"> </w:t>
            </w:r>
            <w:r w:rsidRPr="00D90DD4">
              <w:rPr>
                <w:i/>
                <w:color w:val="767171" w:themeColor="background2" w:themeShade="80"/>
                <w:sz w:val="20"/>
                <w:szCs w:val="20"/>
              </w:rPr>
              <w:t xml:space="preserve">Curatolo P et al., Lancet Child Adolesc Health. 2018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4">
              <w:r>
                <w:rPr>
                  <w:sz w:val="20"/>
                  <w:rStyle w:val="Hyperlink"/>
                </w:rPr>
                <w:t xml:space="preserve">22149876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in postmenopausal hormone-receptor-positive advanced breast cancer.</w:t>
            </w:r>
            <w:r>
              <w:rPr>
                <w:color w:val="404040" w:themeColor="text1" w:themeTint="BF"/>
                <w:sz w:val="20"/>
                <w:szCs w:val="20"/>
              </w:rPr>
              <w:t xml:space="preserve"> </w:t>
            </w:r>
            <w:r w:rsidRPr="00D90DD4">
              <w:rPr>
                <w:i/>
                <w:color w:val="767171" w:themeColor="background2" w:themeShade="80"/>
                <w:sz w:val="20"/>
                <w:szCs w:val="20"/>
              </w:rPr>
              <w:t xml:space="preserve">Baselga J et al., N Engl J Med. 2012 Feb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5">
              <w:r>
                <w:rPr>
                  <w:sz w:val="20"/>
                  <w:rStyle w:val="Hyperlink"/>
                </w:rPr>
                <w:t xml:space="preserve">26482279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Lenvatinib, everolimus, and the combination in patients with metastatic renal cell carcinoma: a randomised, phase 2, open-label, multicentre trial.</w:t>
            </w:r>
            <w:r>
              <w:rPr>
                <w:color w:val="404040" w:themeColor="text1" w:themeTint="BF"/>
                <w:sz w:val="20"/>
                <w:szCs w:val="20"/>
              </w:rPr>
              <w:t xml:space="preserve"> </w:t>
            </w:r>
            <w:r w:rsidRPr="00D90DD4">
              <w:rPr>
                <w:i/>
                <w:color w:val="767171" w:themeColor="background2" w:themeShade="80"/>
                <w:sz w:val="20"/>
                <w:szCs w:val="20"/>
              </w:rPr>
              <w:t xml:space="preserve">Motzer RJ et al., Lancet Oncol. 2015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6">
              <w:r>
                <w:rPr>
                  <w:sz w:val="20"/>
                  <w:rStyle w:val="Hyperlink"/>
                </w:rPr>
                <w:t xml:space="preserve">32020516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c-MET as a Potential Resistance Mechanism to Everolimus in Breast Cancer: From a Case Report to Patient Cohort Analysis.</w:t>
            </w:r>
            <w:r>
              <w:rPr>
                <w:color w:val="404040" w:themeColor="text1" w:themeTint="BF"/>
                <w:sz w:val="20"/>
                <w:szCs w:val="20"/>
              </w:rPr>
              <w:t xml:space="preserve"> </w:t>
            </w:r>
            <w:r w:rsidRPr="00D90DD4">
              <w:rPr>
                <w:i/>
                <w:color w:val="767171" w:themeColor="background2" w:themeShade="80"/>
                <w:sz w:val="20"/>
                <w:szCs w:val="20"/>
              </w:rPr>
              <w:t xml:space="preserve">Van den Bossche V et al., Target Oncol. 2020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7">
              <w:r>
                <w:rPr>
                  <w:sz w:val="20"/>
                  <w:rStyle w:val="Hyperlink"/>
                </w:rPr>
                <w:t xml:space="preserve">31267758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resistance in clear cell renal cell carcinoma: miRNA-101 and HIF-2α as molecular triggers?</w:t>
            </w:r>
            <w:r>
              <w:rPr>
                <w:color w:val="404040" w:themeColor="text1" w:themeTint="BF"/>
                <w:sz w:val="20"/>
                <w:szCs w:val="20"/>
              </w:rPr>
              <w:t xml:space="preserve"> </w:t>
            </w:r>
            <w:r w:rsidRPr="00D90DD4">
              <w:rPr>
                <w:i/>
                <w:color w:val="767171" w:themeColor="background2" w:themeShade="80"/>
                <w:sz w:val="20"/>
                <w:szCs w:val="20"/>
              </w:rPr>
              <w:t xml:space="preserve">Nogueira I et al., Future Oncol. 2019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8">
              <w:r>
                <w:rPr>
                  <w:sz w:val="20"/>
                  <w:rStyle w:val="Hyperlink"/>
                </w:rPr>
                <w:t xml:space="preserve">29895527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role of GSK3 and its reversal with GSK3 antagonism in everolimus resistance.</w:t>
            </w:r>
            <w:r>
              <w:rPr>
                <w:color w:val="404040" w:themeColor="text1" w:themeTint="BF"/>
                <w:sz w:val="20"/>
                <w:szCs w:val="20"/>
              </w:rPr>
              <w:t xml:space="preserve"> </w:t>
            </w:r>
            <w:r w:rsidRPr="00D90DD4">
              <w:rPr>
                <w:i/>
                <w:color w:val="767171" w:themeColor="background2" w:themeShade="80"/>
                <w:sz w:val="20"/>
                <w:szCs w:val="20"/>
              </w:rPr>
              <w:t xml:space="preserve">Aristizabal Prada ET et al., Endocr Relat Cancer. 2018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9">
              <w:r>
                <w:rPr>
                  <w:sz w:val="20"/>
                  <w:rStyle w:val="Hyperlink"/>
                </w:rPr>
                <w:t xml:space="preserve">14513432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Aromatase inhibitors: mechanism of action and role in the treatment of breast cancer.</w:t>
            </w:r>
            <w:r>
              <w:rPr>
                <w:color w:val="404040" w:themeColor="text1" w:themeTint="BF"/>
                <w:sz w:val="20"/>
                <w:szCs w:val="20"/>
              </w:rPr>
              <w:t xml:space="preserve"> </w:t>
            </w:r>
            <w:r w:rsidRPr="00D90DD4">
              <w:rPr>
                <w:i/>
                <w:color w:val="767171" w:themeColor="background2" w:themeShade="80"/>
                <w:sz w:val="20"/>
                <w:szCs w:val="20"/>
              </w:rPr>
              <w:t xml:space="preserve">Miller WR, Semin Oncol. 2003 Aug</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0">
              <w:r>
                <w:rPr>
                  <w:sz w:val="20"/>
                  <w:rStyle w:val="Hyperlink"/>
                </w:rPr>
                <w:t xml:space="preserve">24367167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Adjuvant treatment of breast cancer in postmenopausal women: role of exemestane.</w:t>
            </w:r>
            <w:r>
              <w:rPr>
                <w:color w:val="404040" w:themeColor="text1" w:themeTint="BF"/>
                <w:sz w:val="20"/>
                <w:szCs w:val="20"/>
              </w:rPr>
              <w:t xml:space="preserve"> </w:t>
            </w:r>
            <w:r w:rsidRPr="00D90DD4">
              <w:rPr>
                <w:i/>
                <w:color w:val="767171" w:themeColor="background2" w:themeShade="80"/>
                <w:sz w:val="20"/>
                <w:szCs w:val="20"/>
              </w:rPr>
              <w:t xml:space="preserve">Macpherson IR et al., Breast Cancer (Dove Med Press). 2010 Oct 14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1">
              <w:r>
                <w:rPr>
                  <w:sz w:val="20"/>
                  <w:rStyle w:val="Hyperlink"/>
                </w:rPr>
                <w:t xml:space="preserve">32700026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Endocrine Therapy for Breast Cancer: A Model of Hormonal Manipulation.</w:t>
            </w:r>
            <w:r>
              <w:rPr>
                <w:color w:val="404040" w:themeColor="text1" w:themeTint="BF"/>
                <w:sz w:val="20"/>
                <w:szCs w:val="20"/>
              </w:rPr>
              <w:t xml:space="preserve"> </w:t>
            </w:r>
            <w:r w:rsidRPr="00D90DD4">
              <w:rPr>
                <w:i/>
                <w:color w:val="767171" w:themeColor="background2" w:themeShade="80"/>
                <w:sz w:val="20"/>
                <w:szCs w:val="20"/>
              </w:rPr>
              <w:t xml:space="preserve">Johnston SJ et al., Oncol Ther. 2018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2">
              <w:r>
                <w:rPr>
                  <w:sz w:val="20"/>
                  <w:rStyle w:val="Hyperlink"/>
                </w:rPr>
                <w:t xml:space="preserve">31235695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beneficial androgenic action of steroidal aromatase inactivators in estrogen-dependent breast cancer after failure of nonsteroidal drugs.</w:t>
            </w:r>
            <w:r>
              <w:rPr>
                <w:color w:val="404040" w:themeColor="text1" w:themeTint="BF"/>
                <w:sz w:val="20"/>
                <w:szCs w:val="20"/>
              </w:rPr>
              <w:t xml:space="preserve"> </w:t>
            </w:r>
            <w:r w:rsidRPr="00D90DD4">
              <w:rPr>
                <w:i/>
                <w:color w:val="767171" w:themeColor="background2" w:themeShade="80"/>
                <w:sz w:val="20"/>
                <w:szCs w:val="20"/>
              </w:rPr>
              <w:t xml:space="preserve">Gao L et al., Cell Death Dis. 2019 06 24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3">
              <w:r>
                <w:rPr>
                  <w:sz w:val="20"/>
                  <w:rStyle w:val="Hyperlink"/>
                </w:rPr>
                <w:t xml:space="preserve">10735887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Exemestane is superior to megestrol acetate after tamoxifen failure in postmenopausal women with advanced breast cancer: results of a phase III randomized double-blind trial. The Exemestane Study Group.</w:t>
            </w:r>
            <w:r>
              <w:rPr>
                <w:color w:val="404040" w:themeColor="text1" w:themeTint="BF"/>
                <w:sz w:val="20"/>
                <w:szCs w:val="20"/>
              </w:rPr>
              <w:t xml:space="preserve"> </w:t>
            </w:r>
            <w:r w:rsidRPr="00D90DD4">
              <w:rPr>
                <w:i/>
                <w:color w:val="767171" w:themeColor="background2" w:themeShade="80"/>
                <w:sz w:val="20"/>
                <w:szCs w:val="20"/>
              </w:rPr>
              <w:t xml:space="preserve">Kaufmann M et al., J Clin Oncol. 2000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4">
              <w:r>
                <w:rPr>
                  <w:sz w:val="20"/>
                  <w:rStyle w:val="Hyperlink"/>
                </w:rPr>
                <w:t xml:space="preserve">15014181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randomized trial of exemestane after two to three years of tamoxifen therapy in postmenopausal women with primary breast cancer.</w:t>
            </w:r>
            <w:r>
              <w:rPr>
                <w:color w:val="404040" w:themeColor="text1" w:themeTint="BF"/>
                <w:sz w:val="20"/>
                <w:szCs w:val="20"/>
              </w:rPr>
              <w:t xml:space="preserve"> </w:t>
            </w:r>
            <w:r w:rsidRPr="00D90DD4">
              <w:rPr>
                <w:i/>
                <w:color w:val="767171" w:themeColor="background2" w:themeShade="80"/>
                <w:sz w:val="20"/>
                <w:szCs w:val="20"/>
              </w:rPr>
              <w:t xml:space="preserve">Coombes RC et al., N Engl J Med. 2004 Mar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5">
              <w:r>
                <w:rPr>
                  <w:sz w:val="20"/>
                  <w:rStyle w:val="Hyperlink"/>
                </w:rPr>
                <w:t xml:space="preserve">17307102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Survival and safety of exemestane versus tamoxifen after 2-3 years' tamoxifen treatment (Intergroup Exemestane Study): a randomised controlled trial.</w:t>
            </w:r>
            <w:r>
              <w:rPr>
                <w:color w:val="404040" w:themeColor="text1" w:themeTint="BF"/>
                <w:sz w:val="20"/>
                <w:szCs w:val="20"/>
              </w:rPr>
              <w:t xml:space="preserve"> </w:t>
            </w:r>
            <w:r w:rsidRPr="00D90DD4">
              <w:rPr>
                <w:i/>
                <w:color w:val="767171" w:themeColor="background2" w:themeShade="80"/>
                <w:sz w:val="20"/>
                <w:szCs w:val="20"/>
              </w:rPr>
              <w:t xml:space="preserve">Coombes RC et al., Lancet. 2007 Feb 17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6">
              <w:r>
                <w:rPr>
                  <w:sz w:val="20"/>
                  <w:rStyle w:val="Hyperlink"/>
                </w:rPr>
                <w:t xml:space="preserve">25810012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Everolimus plus exemestane for the treatment of advanced breast cancer: a review of subanalyses from BOLERO-2.</w:t>
            </w:r>
            <w:r>
              <w:rPr>
                <w:color w:val="404040" w:themeColor="text1" w:themeTint="BF"/>
                <w:sz w:val="20"/>
                <w:szCs w:val="20"/>
              </w:rPr>
              <w:t xml:space="preserve"> </w:t>
            </w:r>
            <w:r w:rsidRPr="00D90DD4">
              <w:rPr>
                <w:i/>
                <w:color w:val="767171" w:themeColor="background2" w:themeShade="80"/>
                <w:sz w:val="20"/>
                <w:szCs w:val="20"/>
              </w:rPr>
              <w:t xml:space="preserve">Hortobagyi GN, Neoplasia. 2015 Mar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7">
              <w:r>
                <w:rPr>
                  <w:sz w:val="20"/>
                  <w:rStyle w:val="Hyperlink"/>
                </w:rPr>
                <w:t xml:space="preserve">26064072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Clinical utility of exemestane in the treatment of breast cancer.</w:t>
            </w:r>
            <w:r>
              <w:rPr>
                <w:color w:val="404040" w:themeColor="text1" w:themeTint="BF"/>
                <w:sz w:val="20"/>
                <w:szCs w:val="20"/>
              </w:rPr>
              <w:t xml:space="preserve"> </w:t>
            </w:r>
            <w:r w:rsidRPr="00D90DD4">
              <w:rPr>
                <w:i/>
                <w:color w:val="767171" w:themeColor="background2" w:themeShade="80"/>
                <w:sz w:val="20"/>
                <w:szCs w:val="20"/>
              </w:rPr>
              <w:t xml:space="preserve">Zucchini G et al., Int J Womens Health. 2015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8">
              <w:r>
                <w:rPr>
                  <w:sz w:val="20"/>
                  <w:rStyle w:val="Hyperlink"/>
                </w:rPr>
                <w:t xml:space="preserve">29116433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Safety of everolimus plus exemestane in patients with hormone-receptor-positive, HER2-negative locally advanced or metastatic breast cancer: results of phase IIIb BALLET trial in Spain.</w:t>
            </w:r>
            <w:r>
              <w:rPr>
                <w:color w:val="404040" w:themeColor="text1" w:themeTint="BF"/>
                <w:sz w:val="20"/>
                <w:szCs w:val="20"/>
              </w:rPr>
              <w:t xml:space="preserve"> </w:t>
            </w:r>
            <w:r w:rsidRPr="00D90DD4">
              <w:rPr>
                <w:i/>
                <w:color w:val="767171" w:themeColor="background2" w:themeShade="80"/>
                <w:sz w:val="20"/>
                <w:szCs w:val="20"/>
              </w:rPr>
              <w:t xml:space="preserve">Ciruelos E et al., Clin Transl Oncol. 2018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9">
              <w:r>
                <w:rPr>
                  <w:sz w:val="20"/>
                  <w:rStyle w:val="Hyperlink"/>
                </w:rPr>
                <w:t xml:space="preserve">34262612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Update on the role of pembrolizumab in patients with unresectable or metastatic colorectal cancer.</w:t>
            </w:r>
            <w:r>
              <w:rPr>
                <w:color w:val="404040" w:themeColor="text1" w:themeTint="BF"/>
                <w:sz w:val="20"/>
                <w:szCs w:val="20"/>
              </w:rPr>
              <w:t xml:space="preserve"> </w:t>
            </w:r>
            <w:r w:rsidRPr="00D90DD4">
              <w:rPr>
                <w:i/>
                <w:color w:val="767171" w:themeColor="background2" w:themeShade="80"/>
                <w:sz w:val="20"/>
                <w:szCs w:val="20"/>
              </w:rPr>
              <w:t xml:space="preserve">Wookey V et al., Therap Adv Gastroenterol.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0">
              <w:r>
                <w:rPr>
                  <w:sz w:val="20"/>
                  <w:rStyle w:val="Hyperlink"/>
                </w:rPr>
                <w:t xml:space="preserve">28323504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Pembrolizumab use for the treatment of advanced melanoma.</w:t>
            </w:r>
            <w:r>
              <w:rPr>
                <w:color w:val="404040" w:themeColor="text1" w:themeTint="BF"/>
                <w:sz w:val="20"/>
                <w:szCs w:val="20"/>
              </w:rPr>
              <w:t xml:space="preserve"> </w:t>
            </w:r>
            <w:r w:rsidRPr="00D90DD4">
              <w:rPr>
                <w:i/>
                <w:color w:val="767171" w:themeColor="background2" w:themeShade="80"/>
                <w:sz w:val="20"/>
                <w:szCs w:val="20"/>
              </w:rPr>
              <w:t xml:space="preserve">Specenier P, Expert Opin Biol Ther. 2017 06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1">
              <w:r>
                <w:rPr>
                  <w:sz w:val="20"/>
                  <w:rStyle w:val="Hyperlink"/>
                </w:rPr>
                <w:t xml:space="preserve">35364421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Updated efficacy and safety of KEYNOTE-224: a phase II study of pembrolizumab in patients with advanced hepatocellular carcinoma previously treated with sorafenib.</w:t>
            </w:r>
            <w:r>
              <w:rPr>
                <w:color w:val="404040" w:themeColor="text1" w:themeTint="BF"/>
                <w:sz w:val="20"/>
                <w:szCs w:val="20"/>
              </w:rPr>
              <w:t xml:space="preserve"> </w:t>
            </w:r>
            <w:r w:rsidRPr="00D90DD4">
              <w:rPr>
                <w:i/>
                <w:color w:val="767171" w:themeColor="background2" w:themeShade="80"/>
                <w:sz w:val="20"/>
                <w:szCs w:val="20"/>
              </w:rPr>
              <w:t xml:space="preserve">Kudo M et al., Eur J Cancer. 2022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2">
              <w:r>
                <w:rPr>
                  <w:sz w:val="20"/>
                  <w:rStyle w:val="Hyperlink"/>
                </w:rPr>
                <w:t xml:space="preserve">33183120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Pembrolizumab for advanced cervical cancer: safety and efficacy.</w:t>
            </w:r>
            <w:r>
              <w:rPr>
                <w:color w:val="404040" w:themeColor="text1" w:themeTint="BF"/>
                <w:sz w:val="20"/>
                <w:szCs w:val="20"/>
              </w:rPr>
              <w:t xml:space="preserve"> </w:t>
            </w:r>
            <w:r w:rsidRPr="00D90DD4">
              <w:rPr>
                <w:i/>
                <w:color w:val="767171" w:themeColor="background2" w:themeShade="80"/>
                <w:sz w:val="20"/>
                <w:szCs w:val="20"/>
              </w:rPr>
              <w:t xml:space="preserve">De Felice F et al., Expert Rev Anticancer Ther. 2021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3">
              <w:r>
                <w:rPr>
                  <w:sz w:val="20"/>
                  <w:rStyle w:val="Hyperlink"/>
                </w:rPr>
                <w:t xml:space="preserve">34083238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Pembrolizumab for the Treatment of Tumor Mutational Burden-High Solid Tumors.</w:t>
            </w:r>
            <w:r>
              <w:rPr>
                <w:color w:val="404040" w:themeColor="text1" w:themeTint="BF"/>
                <w:sz w:val="20"/>
                <w:szCs w:val="20"/>
              </w:rPr>
              <w:t xml:space="preserve"> </w:t>
            </w:r>
            <w:r w:rsidRPr="00D90DD4">
              <w:rPr>
                <w:i/>
                <w:color w:val="767171" w:themeColor="background2" w:themeShade="80"/>
                <w:sz w:val="20"/>
                <w:szCs w:val="20"/>
              </w:rPr>
              <w:t xml:space="preserve">Marcus L et al., Clin Cancer Res. 2021 09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4">
              <w:r>
                <w:rPr>
                  <w:sz w:val="20"/>
                  <w:rStyle w:val="Hyperlink"/>
                </w:rPr>
                <w:t xml:space="preserve">32771306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FDA approval of pembrolizumab for adult and pediatric patients with tumor mutational burden (TMB) ≥10: a decision centered on empowering patients and their physicians.</w:t>
            </w:r>
            <w:r>
              <w:rPr>
                <w:color w:val="404040" w:themeColor="text1" w:themeTint="BF"/>
                <w:sz w:val="20"/>
                <w:szCs w:val="20"/>
              </w:rPr>
              <w:t xml:space="preserve"> </w:t>
            </w:r>
            <w:r w:rsidRPr="00D90DD4">
              <w:rPr>
                <w:i/>
                <w:color w:val="767171" w:themeColor="background2" w:themeShade="80"/>
                <w:sz w:val="20"/>
                <w:szCs w:val="20"/>
              </w:rPr>
              <w:t xml:space="preserve">Subbiah V et al., Ann Oncol. 2020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5">
              <w:r>
                <w:rPr>
                  <w:sz w:val="20"/>
                  <w:rStyle w:val="Hyperlink"/>
                </w:rPr>
                <w:t xml:space="preserve">33846198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Pembrolizumab for the First-line Treatment of Patients with MSI-H/dMMR Advanced Unresectable or Metastatic Colorectal Carcinoma.</w:t>
            </w:r>
            <w:r>
              <w:rPr>
                <w:color w:val="404040" w:themeColor="text1" w:themeTint="BF"/>
                <w:sz w:val="20"/>
                <w:szCs w:val="20"/>
              </w:rPr>
              <w:t xml:space="preserve"> </w:t>
            </w:r>
            <w:r w:rsidRPr="00D90DD4">
              <w:rPr>
                <w:i/>
                <w:color w:val="767171" w:themeColor="background2" w:themeShade="80"/>
                <w:sz w:val="20"/>
                <w:szCs w:val="20"/>
              </w:rPr>
              <w:t xml:space="preserve">Casak SJ et al., Clin Cancer Res. 2021 09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6">
              <w:r>
                <w:rPr>
                  <w:sz w:val="20"/>
                  <w:rStyle w:val="Hyperlink"/>
                </w:rPr>
                <w:t xml:space="preserve">29360728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Mechanisms of Resistance to PD-1 and PD-L1 Blockade.</w:t>
            </w:r>
            <w:r>
              <w:rPr>
                <w:color w:val="404040" w:themeColor="text1" w:themeTint="BF"/>
                <w:sz w:val="20"/>
                <w:szCs w:val="20"/>
              </w:rPr>
              <w:t xml:space="preserve"> </w:t>
            </w:r>
            <w:r w:rsidRPr="00D90DD4">
              <w:rPr>
                <w:i/>
                <w:color w:val="767171" w:themeColor="background2" w:themeShade="80"/>
                <w:sz w:val="20"/>
                <w:szCs w:val="20"/>
              </w:rPr>
              <w:t xml:space="preserve">Nowicki TS et al., Cancer J. 2018 Jan/Feb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7">
              <w:r>
                <w:rPr>
                  <w:sz w:val="20"/>
                  <w:rStyle w:val="Hyperlink"/>
                </w:rPr>
                <w:t xml:space="preserve">28187290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Primary, Adaptive, and Acquired Resistance to Cancer Immunotherapy.</w:t>
            </w:r>
            <w:r>
              <w:rPr>
                <w:color w:val="404040" w:themeColor="text1" w:themeTint="BF"/>
                <w:sz w:val="20"/>
                <w:szCs w:val="20"/>
              </w:rPr>
              <w:t xml:space="preserve"> </w:t>
            </w:r>
            <w:r w:rsidRPr="00D90DD4">
              <w:rPr>
                <w:i/>
                <w:color w:val="767171" w:themeColor="background2" w:themeShade="80"/>
                <w:sz w:val="20"/>
                <w:szCs w:val="20"/>
              </w:rPr>
              <w:t xml:space="preserve">Sharma P et al., Cell. 2017 02 09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8">
              <w:r>
                <w:rPr>
                  <w:sz w:val="20"/>
                  <w:rStyle w:val="Hyperlink"/>
                </w:rPr>
                <w:t xml:space="preserve">32000802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Predictive biomarkers and mechanisms underlying resistance to PD1/PD-L1 blockade cancer immunotherapy.</w:t>
            </w:r>
            <w:r>
              <w:rPr>
                <w:color w:val="404040" w:themeColor="text1" w:themeTint="BF"/>
                <w:sz w:val="20"/>
                <w:szCs w:val="20"/>
              </w:rPr>
              <w:t xml:space="preserve"> </w:t>
            </w:r>
            <w:r w:rsidRPr="00D90DD4">
              <w:rPr>
                <w:i/>
                <w:color w:val="767171" w:themeColor="background2" w:themeShade="80"/>
                <w:sz w:val="20"/>
                <w:szCs w:val="20"/>
              </w:rPr>
              <w:t xml:space="preserve">Ren D et al., Mol Cancer. 2020 01 30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9">
              <w:r>
                <w:rPr>
                  <w:sz w:val="20"/>
                  <w:rStyle w:val="Hyperlink"/>
                </w:rPr>
                <w:t xml:space="preserve">34461272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Efficacy and safety profile of avelumab monotherapy.</w:t>
            </w:r>
            <w:r>
              <w:rPr>
                <w:color w:val="404040" w:themeColor="text1" w:themeTint="BF"/>
                <w:sz w:val="20"/>
                <w:szCs w:val="20"/>
              </w:rPr>
              <w:t xml:space="preserve"> </w:t>
            </w:r>
            <w:r w:rsidRPr="00D90DD4">
              <w:rPr>
                <w:i/>
                <w:color w:val="767171" w:themeColor="background2" w:themeShade="80"/>
                <w:sz w:val="20"/>
                <w:szCs w:val="20"/>
              </w:rPr>
              <w:t xml:space="preserve">Zhao B et al., Crit Rev Oncol Hematol. 2021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0">
              <w:r>
                <w:rPr>
                  <w:sz w:val="20"/>
                  <w:rStyle w:val="Hyperlink"/>
                </w:rPr>
                <w:t xml:space="preserve">28407031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clinical trial innovation and collaboration to advance anti-PD-L1 immunotherapy.</w:t>
            </w:r>
            <w:r>
              <w:rPr>
                <w:color w:val="404040" w:themeColor="text1" w:themeTint="BF"/>
                <w:sz w:val="20"/>
                <w:szCs w:val="20"/>
              </w:rPr>
              <w:t xml:space="preserve"> </w:t>
            </w:r>
            <w:r w:rsidRPr="00D90DD4">
              <w:rPr>
                <w:i/>
                <w:color w:val="767171" w:themeColor="background2" w:themeShade="80"/>
                <w:sz w:val="20"/>
                <w:szCs w:val="20"/>
              </w:rPr>
              <w:t xml:space="preserve">Chin K et al., Ann Oncol. 2017 07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1">
              <w:r>
                <w:rPr>
                  <w:sz w:val="20"/>
                  <w:rStyle w:val="Hyperlink"/>
                </w:rPr>
                <w:t xml:space="preserve">35015593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in locally advanced or metastatic urothelial carcinoma.</w:t>
            </w:r>
            <w:r>
              <w:rPr>
                <w:color w:val="404040" w:themeColor="text1" w:themeTint="BF"/>
                <w:sz w:val="20"/>
                <w:szCs w:val="20"/>
              </w:rPr>
              <w:t xml:space="preserve"> </w:t>
            </w:r>
            <w:r w:rsidRPr="00D90DD4">
              <w:rPr>
                <w:i/>
                <w:color w:val="767171" w:themeColor="background2" w:themeShade="80"/>
                <w:sz w:val="20"/>
                <w:szCs w:val="20"/>
              </w:rPr>
              <w:t xml:space="preserve">Jackson-Spence F et al., Expert Rev Anticancer Ther. 2022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2">
              <w:r>
                <w:rPr>
                  <w:sz w:val="20"/>
                  <w:rStyle w:val="Hyperlink"/>
                </w:rPr>
                <w:t xml:space="preserve">33839438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first-line maintenance in locally advanced or metastatic urothelial carcinoma: Applying clinical trial findings to clinical practice.</w:t>
            </w:r>
            <w:r>
              <w:rPr>
                <w:color w:val="404040" w:themeColor="text1" w:themeTint="BF"/>
                <w:sz w:val="20"/>
                <w:szCs w:val="20"/>
              </w:rPr>
              <w:t xml:space="preserve"> </w:t>
            </w:r>
            <w:r w:rsidRPr="00D90DD4">
              <w:rPr>
                <w:i/>
                <w:color w:val="767171" w:themeColor="background2" w:themeShade="80"/>
                <w:sz w:val="20"/>
                <w:szCs w:val="20"/>
              </w:rPr>
              <w:t xml:space="preserve">Grivas P et al., Cancer Treat Rev. 2021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3">
              <w:r>
                <w:rPr>
                  <w:sz w:val="20"/>
                  <w:rStyle w:val="Hyperlink"/>
                </w:rPr>
                <w:t xml:space="preserve">33206587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Maintenance avelumab for metastatic urothelial cancer: a new standard of care.</w:t>
            </w:r>
            <w:r>
              <w:rPr>
                <w:color w:val="404040" w:themeColor="text1" w:themeTint="BF"/>
                <w:sz w:val="20"/>
                <w:szCs w:val="20"/>
              </w:rPr>
              <w:t xml:space="preserve"> </w:t>
            </w:r>
            <w:r w:rsidRPr="00D90DD4">
              <w:rPr>
                <w:i/>
                <w:color w:val="767171" w:themeColor="background2" w:themeShade="80"/>
                <w:sz w:val="20"/>
                <w:szCs w:val="20"/>
              </w:rPr>
              <w:t xml:space="preserve">Erck A et al., Cancer Biol Ther. 2020 12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4">
              <w:r>
                <w:rPr>
                  <w:sz w:val="20"/>
                  <w:rStyle w:val="Hyperlink"/>
                </w:rPr>
                <w:t xml:space="preserve">28375787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an Anti-Programmed Death-Ligand 1 Antibody, In Patients With Refractory Metastatic Urothelial Carcinoma: Results From a Multicenter, Phase Ib Study.</w:t>
            </w:r>
            <w:r>
              <w:rPr>
                <w:color w:val="404040" w:themeColor="text1" w:themeTint="BF"/>
                <w:sz w:val="20"/>
                <w:szCs w:val="20"/>
              </w:rPr>
              <w:t xml:space="preserve"> </w:t>
            </w:r>
            <w:r w:rsidRPr="00D90DD4">
              <w:rPr>
                <w:i/>
                <w:color w:val="767171" w:themeColor="background2" w:themeShade="80"/>
                <w:sz w:val="20"/>
                <w:szCs w:val="20"/>
              </w:rPr>
              <w:t xml:space="preserve">Apolo AB et al., J Clin Oncol. 2017 Jul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5">
              <w:r>
                <w:rPr>
                  <w:sz w:val="20"/>
                  <w:rStyle w:val="Hyperlink"/>
                </w:rPr>
                <w:t xml:space="preserve">29217288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in metastatic urothelial carcinoma after platinum failure (JAVELIN Solid Tumor): pooled results from two expansion cohorts of an open-label, phase 1 trial.</w:t>
            </w:r>
            <w:r>
              <w:rPr>
                <w:color w:val="404040" w:themeColor="text1" w:themeTint="BF"/>
                <w:sz w:val="20"/>
                <w:szCs w:val="20"/>
              </w:rPr>
              <w:t xml:space="preserve"> </w:t>
            </w:r>
            <w:r w:rsidRPr="00D90DD4">
              <w:rPr>
                <w:i/>
                <w:color w:val="767171" w:themeColor="background2" w:themeShade="80"/>
                <w:sz w:val="20"/>
                <w:szCs w:val="20"/>
              </w:rPr>
              <w:t xml:space="preserve">Patel MR et al., Lancet Oncol. 2018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6">
              <w:r>
                <w:rPr>
                  <w:sz w:val="20"/>
                  <w:rStyle w:val="Hyperlink"/>
                </w:rPr>
                <w:t xml:space="preserve">30779531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plus Axitinib versus Sunitinib for Advanced Renal-Cell Carcinoma.</w:t>
            </w:r>
            <w:r>
              <w:rPr>
                <w:color w:val="404040" w:themeColor="text1" w:themeTint="BF"/>
                <w:sz w:val="20"/>
                <w:szCs w:val="20"/>
              </w:rPr>
              <w:t xml:space="preserve"> </w:t>
            </w:r>
            <w:r w:rsidRPr="00D90DD4">
              <w:rPr>
                <w:i/>
                <w:color w:val="767171" w:themeColor="background2" w:themeShade="80"/>
                <w:sz w:val="20"/>
                <w:szCs w:val="20"/>
              </w:rPr>
              <w:t xml:space="preserve">Motzer RJ et al., N Engl J Med. 2019 03 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7">
              <w:r>
                <w:rPr>
                  <w:sz w:val="20"/>
                  <w:rStyle w:val="Hyperlink"/>
                </w:rPr>
                <w:t xml:space="preserve">32339648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Updated efficacy results from the JAVELIN Renal 101 trial: first-line avelumab plus axitinib versus sunitinib in patients with advanced renal cell carcinoma.</w:t>
            </w:r>
            <w:r>
              <w:rPr>
                <w:color w:val="404040" w:themeColor="text1" w:themeTint="BF"/>
                <w:sz w:val="20"/>
                <w:szCs w:val="20"/>
              </w:rPr>
              <w:t xml:space="preserve"> </w:t>
            </w:r>
            <w:r w:rsidRPr="00D90DD4">
              <w:rPr>
                <w:i/>
                <w:color w:val="767171" w:themeColor="background2" w:themeShade="80"/>
                <w:sz w:val="20"/>
                <w:szCs w:val="20"/>
              </w:rPr>
              <w:t xml:space="preserve">Choueiri TK et al., Ann Oncol. 2020 08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8">
              <w:r>
                <w:rPr>
                  <w:sz w:val="20"/>
                  <w:rStyle w:val="Hyperlink"/>
                </w:rPr>
                <w:t xml:space="preserve">34715570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in patients with previously treated metastatic Merkel cell carcinoma (JAVELIN Merkel 200): updated overall survival data after &gt;5 years of follow-up.</w:t>
            </w:r>
            <w:r>
              <w:rPr>
                <w:color w:val="404040" w:themeColor="text1" w:themeTint="BF"/>
                <w:sz w:val="20"/>
                <w:szCs w:val="20"/>
              </w:rPr>
              <w:t xml:space="preserve"> </w:t>
            </w:r>
            <w:r w:rsidRPr="00D90DD4">
              <w:rPr>
                <w:i/>
                <w:color w:val="767171" w:themeColor="background2" w:themeShade="80"/>
                <w:sz w:val="20"/>
                <w:szCs w:val="20"/>
              </w:rPr>
              <w:t xml:space="preserve">D'Angelo SP et al., ESMO Open. 2021 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9">
              <w:r>
                <w:rPr>
                  <w:sz w:val="20"/>
                  <w:rStyle w:val="Hyperlink"/>
                </w:rPr>
                <w:t xml:space="preserve">34301810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First-line avelumab in a cohort of 116 patients with metastatic Merkel cell carcinoma (JAVELIN Merkel 200): primary and biomarker analyses of a phase II study.</w:t>
            </w:r>
            <w:r>
              <w:rPr>
                <w:color w:val="404040" w:themeColor="text1" w:themeTint="BF"/>
                <w:sz w:val="20"/>
                <w:szCs w:val="20"/>
              </w:rPr>
              <w:t xml:space="preserve"> </w:t>
            </w:r>
            <w:r w:rsidRPr="00D90DD4">
              <w:rPr>
                <w:i/>
                <w:color w:val="767171" w:themeColor="background2" w:themeShade="80"/>
                <w:sz w:val="20"/>
                <w:szCs w:val="20"/>
              </w:rPr>
              <w:t xml:space="preserve">D'Angelo SP et al., J Immunother Cancer. 2021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0">
              <w:r>
                <w:rPr>
                  <w:sz w:val="20"/>
                  <w:rStyle w:val="Hyperlink"/>
                </w:rPr>
                <w:t xml:space="preserve">27592805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Avelumab in patients with chemotherapy-refractory metastatic Merkel cell carcinoma: a multicentre, single-group, open-label, phase 2 trial.</w:t>
            </w:r>
            <w:r>
              <w:rPr>
                <w:color w:val="404040" w:themeColor="text1" w:themeTint="BF"/>
                <w:sz w:val="20"/>
                <w:szCs w:val="20"/>
              </w:rPr>
              <w:t xml:space="preserve"> </w:t>
            </w:r>
            <w:r w:rsidRPr="00D90DD4">
              <w:rPr>
                <w:i/>
                <w:color w:val="767171" w:themeColor="background2" w:themeShade="80"/>
                <w:sz w:val="20"/>
                <w:szCs w:val="20"/>
              </w:rPr>
              <w:t xml:space="preserve">Kaufman HL et al., Lancet Oncol. 2016 Oct</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1">
              <w:r>
                <w:rPr>
                  <w:sz w:val="20"/>
                  <w:rStyle w:val="Hyperlink"/>
                </w:rPr>
                <w:t xml:space="preserve">25616434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Olaparib: first global approval.</w:t>
            </w:r>
            <w:r>
              <w:rPr>
                <w:color w:val="404040" w:themeColor="text1" w:themeTint="BF"/>
                <w:sz w:val="20"/>
                <w:szCs w:val="20"/>
              </w:rPr>
              <w:t xml:space="preserve"> </w:t>
            </w:r>
            <w:r w:rsidRPr="00D90DD4">
              <w:rPr>
                <w:i/>
                <w:color w:val="767171" w:themeColor="background2" w:themeShade="80"/>
                <w:sz w:val="20"/>
                <w:szCs w:val="20"/>
              </w:rPr>
              <w:t xml:space="preserve">Deeks ED, Drugs. 2015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2">
              <w:r>
                <w:rPr>
                  <w:sz w:val="20"/>
                  <w:rStyle w:val="Hyperlink"/>
                </w:rPr>
                <w:t xml:space="preserve">25757679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Olaparib: an oral PARP-1 and PARP-2 inhibitor with promising activity in ovarian cancer.</w:t>
            </w:r>
            <w:r>
              <w:rPr>
                <w:color w:val="404040" w:themeColor="text1" w:themeTint="BF"/>
                <w:sz w:val="20"/>
                <w:szCs w:val="20"/>
              </w:rPr>
              <w:t xml:space="preserve"> </w:t>
            </w:r>
            <w:r w:rsidRPr="00D90DD4">
              <w:rPr>
                <w:i/>
                <w:color w:val="767171" w:themeColor="background2" w:themeShade="80"/>
                <w:sz w:val="20"/>
                <w:szCs w:val="20"/>
              </w:rPr>
              <w:t xml:space="preserve">Gunderson CC et al., Future Oncol. 2015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3">
              <w:r>
                <w:rPr>
                  <w:sz w:val="20"/>
                  <w:rStyle w:val="Hyperlink"/>
                </w:rPr>
                <w:t xml:space="preserve">30691122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PARP-1/2 Inhibitor Olaparib Prevents or Partially Reverts EMT Induced by TGF-β in NMuMG Cells.</w:t>
            </w:r>
            <w:r>
              <w:rPr>
                <w:color w:val="404040" w:themeColor="text1" w:themeTint="BF"/>
                <w:sz w:val="20"/>
                <w:szCs w:val="20"/>
              </w:rPr>
              <w:t xml:space="preserve"> </w:t>
            </w:r>
            <w:r w:rsidRPr="00D90DD4">
              <w:rPr>
                <w:i/>
                <w:color w:val="767171" w:themeColor="background2" w:themeShade="80"/>
                <w:sz w:val="20"/>
                <w:szCs w:val="20"/>
              </w:rPr>
              <w:t xml:space="preserve">Schacke M et al., Int J Mol Sci. 2019 Jan 26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4">
              <w:r>
                <w:rPr>
                  <w:sz w:val="20"/>
                  <w:rStyle w:val="Hyperlink"/>
                </w:rPr>
                <w:t xml:space="preserve">32782491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PARP inhibition and immune modulation: scientific rationale and perspectives for the treatment of gynecologic cancers.</w:t>
            </w:r>
            <w:r>
              <w:rPr>
                <w:color w:val="404040" w:themeColor="text1" w:themeTint="BF"/>
                <w:sz w:val="20"/>
                <w:szCs w:val="20"/>
              </w:rPr>
              <w:t xml:space="preserve"> </w:t>
            </w:r>
            <w:r w:rsidRPr="00D90DD4">
              <w:rPr>
                <w:i/>
                <w:color w:val="767171" w:themeColor="background2" w:themeShade="80"/>
                <w:sz w:val="20"/>
                <w:szCs w:val="20"/>
              </w:rPr>
              <w:t xml:space="preserve">Lee EK et al., Ther Adv Med Oncol. 2020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5">
              <w:r>
                <w:rPr>
                  <w:sz w:val="20"/>
                  <w:rStyle w:val="Hyperlink"/>
                </w:rPr>
                <w:t xml:space="preserve">30177437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Mechanisms of PARP inhibitor sensitivity and resistance.</w:t>
            </w:r>
            <w:r>
              <w:rPr>
                <w:color w:val="404040" w:themeColor="text1" w:themeTint="BF"/>
                <w:sz w:val="20"/>
                <w:szCs w:val="20"/>
              </w:rPr>
              <w:t xml:space="preserve"> </w:t>
            </w:r>
            <w:r w:rsidRPr="00D90DD4">
              <w:rPr>
                <w:i/>
                <w:color w:val="767171" w:themeColor="background2" w:themeShade="80"/>
                <w:sz w:val="20"/>
                <w:szCs w:val="20"/>
              </w:rPr>
              <w:t xml:space="preserve">D'Andrea AD, DNA Repair (Amst). 2018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6">
              <w:r>
                <w:rPr>
                  <w:sz w:val="20"/>
                  <w:rStyle w:val="Hyperlink"/>
                </w:rPr>
                <w:t xml:space="preserve">31538027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Olaparib: A Novel Therapy for Metastatic Breast Cancer in Patients With a BRCA1/2 Mutation.</w:t>
            </w:r>
            <w:r>
              <w:rPr>
                <w:color w:val="404040" w:themeColor="text1" w:themeTint="BF"/>
                <w:sz w:val="20"/>
                <w:szCs w:val="20"/>
              </w:rPr>
              <w:t xml:space="preserve"> </w:t>
            </w:r>
            <w:r w:rsidRPr="00D90DD4">
              <w:rPr>
                <w:i/>
                <w:color w:val="767171" w:themeColor="background2" w:themeShade="80"/>
                <w:sz w:val="20"/>
                <w:szCs w:val="20"/>
              </w:rPr>
              <w:t xml:space="preserve">Caulfield SE et al., J Adv Pract Oncol. 2019 Mar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7">
              <w:r>
                <w:rPr>
                  <w:sz w:val="20"/>
                  <w:rStyle w:val="Hyperlink"/>
                </w:rPr>
                <w:t xml:space="preserve">34552338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Clinical Utility of Olaparib in the Treatment of Metastatic Castration-Resistant Prostate Cancer: A Review of Current Evidence and Patient Selection.</w:t>
            </w:r>
            <w:r>
              <w:rPr>
                <w:color w:val="404040" w:themeColor="text1" w:themeTint="BF"/>
                <w:sz w:val="20"/>
                <w:szCs w:val="20"/>
              </w:rPr>
              <w:t xml:space="preserve"> </w:t>
            </w:r>
            <w:r w:rsidRPr="00D90DD4">
              <w:rPr>
                <w:i/>
                <w:color w:val="767171" w:themeColor="background2" w:themeShade="80"/>
                <w:sz w:val="20"/>
                <w:szCs w:val="20"/>
              </w:rPr>
              <w:t xml:space="preserve">LeVee A et al., Onco Targets Ther.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8">
              <w:r>
                <w:rPr>
                  <w:sz w:val="20"/>
                  <w:rStyle w:val="Hyperlink"/>
                </w:rPr>
                <w:t xml:space="preserve">33017510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Olaparib Monotherapy or in Combination with Bevacizumab for the Maintenance Treatment of Patients with Advanced Ovarian Cancer.</w:t>
            </w:r>
            <w:r>
              <w:rPr>
                <w:color w:val="404040" w:themeColor="text1" w:themeTint="BF"/>
                <w:sz w:val="20"/>
                <w:szCs w:val="20"/>
              </w:rPr>
              <w:t xml:space="preserve"> </w:t>
            </w:r>
            <w:r w:rsidRPr="00D90DD4">
              <w:rPr>
                <w:i/>
                <w:color w:val="767171" w:themeColor="background2" w:themeShade="80"/>
                <w:sz w:val="20"/>
                <w:szCs w:val="20"/>
              </w:rPr>
              <w:t xml:space="preserve">Arora S et al., Oncologist. 2021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9">
              <w:r>
                <w:rPr>
                  <w:sz w:val="20"/>
                  <w:rStyle w:val="Hyperlink"/>
                </w:rPr>
                <w:t xml:space="preserve">34081848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Adjuvant Olaparib for Patients with BRCA1- or-Mutated Breast Cancer.</w:t>
            </w:r>
            <w:r>
              <w:rPr>
                <w:color w:val="404040" w:themeColor="text1" w:themeTint="BF"/>
                <w:sz w:val="20"/>
                <w:szCs w:val="20"/>
              </w:rPr>
              <w:t xml:space="preserve"> </w:t>
            </w:r>
            <w:r w:rsidRPr="00D90DD4">
              <w:rPr>
                <w:i/>
                <w:color w:val="767171" w:themeColor="background2" w:themeShade="80"/>
                <w:sz w:val="20"/>
                <w:szCs w:val="20"/>
              </w:rPr>
              <w:t xml:space="preserve">Tutt ANJ et al., N Engl J Med. 2021 06 24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0">
              <w:r>
                <w:rPr>
                  <w:sz w:val="20"/>
                  <w:rStyle w:val="Hyperlink"/>
                </w:rPr>
                <w:t xml:space="preserve">32343890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Olaparib for Metastatic Castration-Resistant Prostate Cancer.</w:t>
            </w:r>
            <w:r>
              <w:rPr>
                <w:color w:val="404040" w:themeColor="text1" w:themeTint="BF"/>
                <w:sz w:val="20"/>
                <w:szCs w:val="20"/>
              </w:rPr>
              <w:t xml:space="preserve"> </w:t>
            </w:r>
            <w:r w:rsidRPr="00D90DD4">
              <w:rPr>
                <w:i/>
                <w:color w:val="767171" w:themeColor="background2" w:themeShade="80"/>
                <w:sz w:val="20"/>
                <w:szCs w:val="20"/>
              </w:rPr>
              <w:t xml:space="preserve">de Bono J et al., N Engl J Med. 2020 05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1">
              <w:r>
                <w:rPr>
                  <w:sz w:val="20"/>
                  <w:rStyle w:val="Hyperlink"/>
                </w:rPr>
                <w:t xml:space="preserve">31851799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Olaparib plus Bevacizumab as First-Line Maintenance in Ovarian Cancer.</w:t>
            </w:r>
            <w:r>
              <w:rPr>
                <w:color w:val="404040" w:themeColor="text1" w:themeTint="BF"/>
                <w:sz w:val="20"/>
                <w:szCs w:val="20"/>
              </w:rPr>
              <w:t xml:space="preserve"> </w:t>
            </w:r>
            <w:r w:rsidRPr="00D90DD4">
              <w:rPr>
                <w:i/>
                <w:color w:val="767171" w:themeColor="background2" w:themeShade="80"/>
                <w:sz w:val="20"/>
                <w:szCs w:val="20"/>
              </w:rPr>
              <w:t xml:space="preserve">Ray-Coquard I et al., N Engl J Med. 2019 12 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2">
              <w:r>
                <w:rPr>
                  <w:sz w:val="20"/>
                  <w:rStyle w:val="Hyperlink"/>
                </w:rPr>
                <w:t xml:space="preserve">25761096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Niraparib: A Poly(ADP-ribose) Polymerase (PARP) Inhibitor for the Treatment of Tumors with Defective Homologous Recombination.</w:t>
            </w:r>
            <w:r>
              <w:rPr>
                <w:color w:val="404040" w:themeColor="text1" w:themeTint="BF"/>
                <w:sz w:val="20"/>
                <w:szCs w:val="20"/>
              </w:rPr>
              <w:t xml:space="preserve"> </w:t>
            </w:r>
            <w:r w:rsidRPr="00D90DD4">
              <w:rPr>
                <w:i/>
                <w:color w:val="767171" w:themeColor="background2" w:themeShade="80"/>
                <w:sz w:val="20"/>
                <w:szCs w:val="20"/>
              </w:rPr>
              <w:t xml:space="preserve">Jones P et al., J Med Chem. 2015 Apr 23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3">
              <w:r>
                <w:rPr>
                  <w:sz w:val="20"/>
                  <w:rStyle w:val="Hyperlink"/>
                </w:rPr>
                <w:t xml:space="preserve">28474297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Niraparib: First Global Approval.</w:t>
            </w:r>
            <w:r>
              <w:rPr>
                <w:color w:val="404040" w:themeColor="text1" w:themeTint="BF"/>
                <w:sz w:val="20"/>
                <w:szCs w:val="20"/>
              </w:rPr>
              <w:t xml:space="preserve"> </w:t>
            </w:r>
            <w:r w:rsidRPr="00D90DD4">
              <w:rPr>
                <w:i/>
                <w:color w:val="767171" w:themeColor="background2" w:themeShade="80"/>
                <w:sz w:val="20"/>
                <w:szCs w:val="20"/>
              </w:rPr>
              <w:t xml:space="preserve">Scott LJ, Drugs. 2017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4">
              <w:r>
                <w:rPr>
                  <w:sz w:val="20"/>
                  <w:rStyle w:val="Hyperlink"/>
                </w:rPr>
                <w:t xml:space="preserve">32172572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Niraparib for the Treatment of Recurrent Epithelial Ovarian, Fallopian Tube, or Primary Peritoneal Cancer.</w:t>
            </w:r>
            <w:r>
              <w:rPr>
                <w:color w:val="404040" w:themeColor="text1" w:themeTint="BF"/>
                <w:sz w:val="20"/>
                <w:szCs w:val="20"/>
              </w:rPr>
              <w:t xml:space="preserve"> </w:t>
            </w:r>
            <w:r w:rsidRPr="00D90DD4">
              <w:rPr>
                <w:i/>
                <w:color w:val="767171" w:themeColor="background2" w:themeShade="80"/>
                <w:sz w:val="20"/>
                <w:szCs w:val="20"/>
              </w:rPr>
              <w:t xml:space="preserve">Kerliu L et al., Ann Pharmacother. 2020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5">
              <w:r>
                <w:rPr>
                  <w:sz w:val="20"/>
                  <w:rStyle w:val="Hyperlink"/>
                </w:rPr>
                <w:t xml:space="preserve">34363200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 In-Depth Review of Niraparib in Ovarian Cancer: Mechanism of Action, Clinical Efficacy and Future Directions.</w:t>
            </w:r>
            <w:r>
              <w:rPr>
                <w:color w:val="404040" w:themeColor="text1" w:themeTint="BF"/>
                <w:sz w:val="20"/>
                <w:szCs w:val="20"/>
              </w:rPr>
              <w:t xml:space="preserve"> </w:t>
            </w:r>
            <w:r w:rsidRPr="00D90DD4">
              <w:rPr>
                <w:i/>
                <w:color w:val="767171" w:themeColor="background2" w:themeShade="80"/>
                <w:sz w:val="20"/>
                <w:szCs w:val="20"/>
              </w:rPr>
              <w:t xml:space="preserve">Akay M et al., Oncol Ther. 2021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6">
              <w:r>
                <w:rPr>
                  <w:sz w:val="20"/>
                  <w:rStyle w:val="Hyperlink"/>
                </w:rPr>
                <w:t xml:space="preserve">27717299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Niraparib Maintenance Therapy in Platinum-Sensitive, Recurrent Ovarian Cancer.</w:t>
            </w:r>
            <w:r>
              <w:rPr>
                <w:color w:val="404040" w:themeColor="text1" w:themeTint="BF"/>
                <w:sz w:val="20"/>
                <w:szCs w:val="20"/>
              </w:rPr>
              <w:t xml:space="preserve"> </w:t>
            </w:r>
            <w:r w:rsidRPr="00D90DD4">
              <w:rPr>
                <w:i/>
                <w:color w:val="767171" w:themeColor="background2" w:themeShade="80"/>
                <w:sz w:val="20"/>
                <w:szCs w:val="20"/>
              </w:rPr>
              <w:t xml:space="preserve">Mirza MR et al., N Engl J Med. 2016 12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7">
              <w:r>
                <w:rPr>
                  <w:sz w:val="20"/>
                  <w:rStyle w:val="Hyperlink"/>
                </w:rPr>
                <w:t xml:space="preserve">30948273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Niraparib monotherapy for late-line treatment of ovarian cancer (QUADRA): a multicentre, open-label, single-arm, phase 2 trial.</w:t>
            </w:r>
            <w:r>
              <w:rPr>
                <w:color w:val="404040" w:themeColor="text1" w:themeTint="BF"/>
                <w:sz w:val="20"/>
                <w:szCs w:val="20"/>
              </w:rPr>
              <w:t xml:space="preserve"> </w:t>
            </w:r>
            <w:r w:rsidRPr="00D90DD4">
              <w:rPr>
                <w:i/>
                <w:color w:val="767171" w:themeColor="background2" w:themeShade="80"/>
                <w:sz w:val="20"/>
                <w:szCs w:val="20"/>
              </w:rPr>
              <w:t xml:space="preserve">Moore KN et al., Lancet Oncol. 2019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8">
              <w:r>
                <w:rPr>
                  <w:sz w:val="20"/>
                  <w:rStyle w:val="Hyperlink"/>
                </w:rPr>
                <w:t xml:space="preserve">27002934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Phase 2 multicentre trial investigating intermittent and continuous dosing schedules of the poly(ADP-ribose) polymerase inhibitor rucaparib in germline BRCA mutation carriers with advanced ovarian and breast cancer.</w:t>
            </w:r>
            <w:r>
              <w:rPr>
                <w:color w:val="404040" w:themeColor="text1" w:themeTint="BF"/>
                <w:sz w:val="20"/>
                <w:szCs w:val="20"/>
              </w:rPr>
              <w:t xml:space="preserve"> </w:t>
            </w:r>
            <w:r w:rsidRPr="00D90DD4">
              <w:rPr>
                <w:i/>
                <w:color w:val="767171" w:themeColor="background2" w:themeShade="80"/>
                <w:sz w:val="20"/>
                <w:szCs w:val="20"/>
              </w:rPr>
              <w:t xml:space="preserve">Drew Y et al., Br J Cancer. 2016 Mar 29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9">
              <w:r>
                <w:rPr>
                  <w:sz w:val="20"/>
                  <w:rStyle w:val="Hyperlink"/>
                </w:rPr>
                <w:t xml:space="preserve">34518297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Synthetic Lethality in Ovarian Cancer.</w:t>
            </w:r>
            <w:r>
              <w:rPr>
                <w:color w:val="404040" w:themeColor="text1" w:themeTint="BF"/>
                <w:sz w:val="20"/>
                <w:szCs w:val="20"/>
              </w:rPr>
              <w:t xml:space="preserve"> </w:t>
            </w:r>
            <w:r w:rsidRPr="00D90DD4">
              <w:rPr>
                <w:i/>
                <w:color w:val="767171" w:themeColor="background2" w:themeShade="80"/>
                <w:sz w:val="20"/>
                <w:szCs w:val="20"/>
              </w:rPr>
              <w:t xml:space="preserve">Chandrasekaran A et al., Mol Cancer Ther. 2021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0">
              <w:r>
                <w:rPr>
                  <w:sz w:val="20"/>
                  <w:rStyle w:val="Hyperlink"/>
                </w:rPr>
                <w:t xml:space="preserve">32086346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Non-BRCA DNA Damage Repair Gene Alterations and Response to the PARP Inhibitor Rucaparib in Metastatic Castration-Resistant Prostate Cancer: Analysis From the Phase II TRITON2 Study.</w:t>
            </w:r>
            <w:r>
              <w:rPr>
                <w:color w:val="404040" w:themeColor="text1" w:themeTint="BF"/>
                <w:sz w:val="20"/>
                <w:szCs w:val="20"/>
              </w:rPr>
              <w:t xml:space="preserve"> </w:t>
            </w:r>
            <w:r w:rsidRPr="00D90DD4">
              <w:rPr>
                <w:i/>
                <w:color w:val="767171" w:themeColor="background2" w:themeShade="80"/>
                <w:sz w:val="20"/>
                <w:szCs w:val="20"/>
              </w:rPr>
              <w:t xml:space="preserve">Abida W et al., Clin Cancer Res. 2020 06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1">
              <w:r>
                <w:rPr>
                  <w:sz w:val="20"/>
                  <w:rStyle w:val="Hyperlink"/>
                </w:rPr>
                <w:t xml:space="preserve">28916367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Rucaparib maintenance treatment for recurrent ovarian carcinoma after response to platinum therapy (ARIEL3): a randomised, double-blind, placebo-controlled, phase 3 trial.</w:t>
            </w:r>
            <w:r>
              <w:rPr>
                <w:color w:val="404040" w:themeColor="text1" w:themeTint="BF"/>
                <w:sz w:val="20"/>
                <w:szCs w:val="20"/>
              </w:rPr>
              <w:t xml:space="preserve"> </w:t>
            </w:r>
            <w:r w:rsidRPr="00D90DD4">
              <w:rPr>
                <w:i/>
                <w:color w:val="767171" w:themeColor="background2" w:themeShade="80"/>
                <w:sz w:val="20"/>
                <w:szCs w:val="20"/>
              </w:rPr>
              <w:t xml:space="preserve">Coleman RL et al., Lancet. 2017 Oct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2">
              <w:r>
                <w:rPr>
                  <w:sz w:val="20"/>
                  <w:rStyle w:val="Hyperlink"/>
                </w:rPr>
                <w:t xml:space="preserve">32359490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Rucaparib for patients with platinum-sensitive, recurrent ovarian carcinoma (ARIEL3): post-progression outcomes and updated safety results from a randomised, placebo-controlled, phase 3 trial.</w:t>
            </w:r>
            <w:r>
              <w:rPr>
                <w:color w:val="404040" w:themeColor="text1" w:themeTint="BF"/>
                <w:sz w:val="20"/>
                <w:szCs w:val="20"/>
              </w:rPr>
              <w:t xml:space="preserve"> </w:t>
            </w:r>
            <w:r w:rsidRPr="00D90DD4">
              <w:rPr>
                <w:i/>
                <w:color w:val="767171" w:themeColor="background2" w:themeShade="80"/>
                <w:sz w:val="20"/>
                <w:szCs w:val="20"/>
              </w:rPr>
              <w:t xml:space="preserve">Ledermann JA et al., Lancet Oncol. 2020 05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3">
              <w:r>
                <w:rPr>
                  <w:sz w:val="20"/>
                  <w:rStyle w:val="Hyperlink"/>
                </w:rPr>
                <w:t xml:space="preserve">32795228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Rucaparib in Men With Metastatic Castration-Resistant Prostate Cancer Harboring aorGene Alteration.</w:t>
            </w:r>
            <w:r>
              <w:rPr>
                <w:color w:val="404040" w:themeColor="text1" w:themeTint="BF"/>
                <w:sz w:val="20"/>
                <w:szCs w:val="20"/>
              </w:rPr>
              <w:t xml:space="preserve"> </w:t>
            </w:r>
            <w:r w:rsidRPr="00D90DD4">
              <w:rPr>
                <w:i/>
                <w:color w:val="767171" w:themeColor="background2" w:themeShade="80"/>
                <w:sz w:val="20"/>
                <w:szCs w:val="20"/>
              </w:rPr>
              <w:t xml:space="preserve">Abida W et al., J Clin Oncol. 2020 11 10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4">
              <w:r>
                <w:rPr>
                  <w:sz w:val="20"/>
                  <w:rStyle w:val="Hyperlink"/>
                </w:rPr>
                <w:t xml:space="preserve">27614696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 vivo anti-tumor activity of the PARP inhibitor niraparib in homologous recombination deficient and proficient ovarian carcinoma.</w:t>
            </w:r>
            <w:r>
              <w:rPr>
                <w:color w:val="404040" w:themeColor="text1" w:themeTint="BF"/>
                <w:sz w:val="20"/>
                <w:szCs w:val="20"/>
              </w:rPr>
              <w:t xml:space="preserve"> </w:t>
            </w:r>
            <w:r w:rsidRPr="00D90DD4">
              <w:rPr>
                <w:i/>
                <w:color w:val="767171" w:themeColor="background2" w:themeShade="80"/>
                <w:sz w:val="20"/>
                <w:szCs w:val="20"/>
              </w:rPr>
              <w:t xml:space="preserve">AlHilli MM et al., Gynecol Oncol. 2016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5">
              <w:r>
                <w:rPr>
                  <w:sz w:val="20"/>
                  <w:rStyle w:val="Hyperlink"/>
                </w:rPr>
                <w:t xml:space="preserve">32880196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Niraparib in the treatment of previously treated advanced ovarian, fallopian tube or primary peritoneal cancer.</w:t>
            </w:r>
            <w:r>
              <w:rPr>
                <w:color w:val="404040" w:themeColor="text1" w:themeTint="BF"/>
                <w:sz w:val="20"/>
                <w:szCs w:val="20"/>
              </w:rPr>
              <w:t xml:space="preserve"> </w:t>
            </w:r>
            <w:r w:rsidRPr="00D90DD4">
              <w:rPr>
                <w:i/>
                <w:color w:val="767171" w:themeColor="background2" w:themeShade="80"/>
                <w:sz w:val="20"/>
                <w:szCs w:val="20"/>
              </w:rPr>
              <w:t xml:space="preserve">Rimel BJ et al., Future Oncol. 2020 Nov</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6">
              <w:r>
                <w:rPr>
                  <w:sz w:val="20"/>
                  <w:rStyle w:val="Hyperlink"/>
                </w:rPr>
                <w:t xml:space="preserve">25799992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REV7 counteracts DNA double-strand break resection and affects PARP inhibition.</w:t>
            </w:r>
            <w:r>
              <w:rPr>
                <w:color w:val="404040" w:themeColor="text1" w:themeTint="BF"/>
                <w:sz w:val="20"/>
                <w:szCs w:val="20"/>
              </w:rPr>
              <w:t xml:space="preserve"> </w:t>
            </w:r>
            <w:r w:rsidRPr="00D90DD4">
              <w:rPr>
                <w:i/>
                <w:color w:val="767171" w:themeColor="background2" w:themeShade="80"/>
                <w:sz w:val="20"/>
                <w:szCs w:val="20"/>
              </w:rPr>
              <w:t xml:space="preserve">Xu G et al., Nature. 2015 May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7">
              <w:r>
                <w:rPr>
                  <w:sz w:val="20"/>
                  <w:rStyle w:val="Hyperlink"/>
                </w:rPr>
                <w:t xml:space="preserve">34316715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Characterization of a-silenced high-grade serous ovarian cancer model during development of PARP inhibitor resistance.</w:t>
            </w:r>
            <w:r>
              <w:rPr>
                <w:color w:val="404040" w:themeColor="text1" w:themeTint="BF"/>
                <w:sz w:val="20"/>
                <w:szCs w:val="20"/>
              </w:rPr>
              <w:t xml:space="preserve"> </w:t>
            </w:r>
            <w:r w:rsidRPr="00D90DD4">
              <w:rPr>
                <w:i/>
                <w:color w:val="767171" w:themeColor="background2" w:themeShade="80"/>
                <w:sz w:val="20"/>
                <w:szCs w:val="20"/>
              </w:rPr>
              <w:t xml:space="preserve">Hurley RM et al., NAR Cancer. 2021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8">
              <w:r>
                <w:rPr>
                  <w:sz w:val="20"/>
                  <w:rStyle w:val="Hyperlink"/>
                </w:rPr>
                <w:t xml:space="preserve">30714316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Exploiting DNA repair defects in colorectal cancer.</w:t>
            </w:r>
            <w:r>
              <w:rPr>
                <w:color w:val="404040" w:themeColor="text1" w:themeTint="BF"/>
                <w:sz w:val="20"/>
                <w:szCs w:val="20"/>
              </w:rPr>
              <w:t xml:space="preserve"> </w:t>
            </w:r>
            <w:r w:rsidRPr="00D90DD4">
              <w:rPr>
                <w:i/>
                <w:color w:val="767171" w:themeColor="background2" w:themeShade="80"/>
                <w:sz w:val="20"/>
                <w:szCs w:val="20"/>
              </w:rPr>
              <w:t xml:space="preserve">Reilly NM et al., Mol Oncol. 2019 04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9">
              <w:r>
                <w:rPr>
                  <w:sz w:val="20"/>
                  <w:rStyle w:val="Hyperlink"/>
                </w:rPr>
                <w:t xml:space="preserve">29660759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PARP inhibitors in breast cancer: Bringing synthetic lethality to the bedside.</w:t>
            </w:r>
            <w:r>
              <w:rPr>
                <w:color w:val="404040" w:themeColor="text1" w:themeTint="BF"/>
                <w:sz w:val="20"/>
                <w:szCs w:val="20"/>
              </w:rPr>
              <w:t xml:space="preserve"> </w:t>
            </w:r>
            <w:r w:rsidRPr="00D90DD4">
              <w:rPr>
                <w:i/>
                <w:color w:val="767171" w:themeColor="background2" w:themeShade="80"/>
                <w:sz w:val="20"/>
                <w:szCs w:val="20"/>
              </w:rPr>
              <w:t xml:space="preserve">Turk AA et al., Cancer. 2018 06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0">
              <w:r>
                <w:rPr>
                  <w:sz w:val="20"/>
                  <w:rStyle w:val="Hyperlink"/>
                </w:rPr>
                <w:t xml:space="preserve">32122376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PARP inhibitors in pancreatic cancer: molecular mechanisms and clinical applications.</w:t>
            </w:r>
            <w:r>
              <w:rPr>
                <w:color w:val="404040" w:themeColor="text1" w:themeTint="BF"/>
                <w:sz w:val="20"/>
                <w:szCs w:val="20"/>
              </w:rPr>
              <w:t xml:space="preserve"> </w:t>
            </w:r>
            <w:r w:rsidRPr="00D90DD4">
              <w:rPr>
                <w:i/>
                <w:color w:val="767171" w:themeColor="background2" w:themeShade="80"/>
                <w:sz w:val="20"/>
                <w:szCs w:val="20"/>
              </w:rPr>
              <w:t xml:space="preserve">Zhu H et al., Mol Cancer. 2020 03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1">
              <w:r>
                <w:rPr>
                  <w:sz w:val="20"/>
                  <w:rStyle w:val="Hyperlink"/>
                </w:rPr>
                <w:t xml:space="preserve">32005279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HER2 heterogeneity and resistance to anti-HER2 antibody-drug conjugates.</w:t>
            </w:r>
            <w:r>
              <w:rPr>
                <w:color w:val="404040" w:themeColor="text1" w:themeTint="BF"/>
                <w:sz w:val="20"/>
                <w:szCs w:val="20"/>
              </w:rPr>
              <w:t xml:space="preserve"> </w:t>
            </w:r>
            <w:r w:rsidRPr="00D90DD4">
              <w:rPr>
                <w:i/>
                <w:color w:val="767171" w:themeColor="background2" w:themeShade="80"/>
                <w:sz w:val="20"/>
                <w:szCs w:val="20"/>
              </w:rPr>
              <w:t xml:space="preserve">Ocaña A et al., Breast Cancer Res. 2020 01 31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2">
              <w:r>
                <w:rPr>
                  <w:sz w:val="20"/>
                  <w:rStyle w:val="Hyperlink"/>
                </w:rPr>
                <w:t xml:space="preserve">33629601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Review of Fam-Trastuzumab Deruxtecan-nxki in HER2-Positive Breast Cancer.</w:t>
            </w:r>
            <w:r>
              <w:rPr>
                <w:color w:val="404040" w:themeColor="text1" w:themeTint="BF"/>
                <w:sz w:val="20"/>
                <w:szCs w:val="20"/>
              </w:rPr>
              <w:t xml:space="preserve"> </w:t>
            </w:r>
            <w:r w:rsidRPr="00D90DD4">
              <w:rPr>
                <w:i/>
                <w:color w:val="767171" w:themeColor="background2" w:themeShade="80"/>
                <w:sz w:val="20"/>
                <w:szCs w:val="20"/>
              </w:rPr>
              <w:t xml:space="preserve">Nguyen X et al., Ann Pharmacother. 2021 11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3">
              <w:r>
                <w:rPr>
                  <w:sz w:val="20"/>
                  <w:rStyle w:val="Hyperlink"/>
                </w:rPr>
                <w:t xml:space="preserve">33658846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Profile of Trastuzumab Deruxtecan in the Management of Patients with HER2-Positive Unresectable or Metastatic Breast Cancer: An Evidence-Based Review.</w:t>
            </w:r>
            <w:r>
              <w:rPr>
                <w:color w:val="404040" w:themeColor="text1" w:themeTint="BF"/>
                <w:sz w:val="20"/>
                <w:szCs w:val="20"/>
              </w:rPr>
              <w:t xml:space="preserve"> </w:t>
            </w:r>
            <w:r w:rsidRPr="00D90DD4">
              <w:rPr>
                <w:i/>
                <w:color w:val="767171" w:themeColor="background2" w:themeShade="80"/>
                <w:sz w:val="20"/>
                <w:szCs w:val="20"/>
              </w:rPr>
              <w:t xml:space="preserve">Linehan AS et al., Breast Cancer (Dove Med Press).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4">
              <w:r>
                <w:rPr>
                  <w:sz w:val="20"/>
                  <w:rStyle w:val="Hyperlink"/>
                </w:rPr>
                <w:t xml:space="preserve">30241301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Mechanisms Underlying the Action and Synergism of Trastuzumab and Pertuzumab in Targeting HER2-Positive Breast Cancer.</w:t>
            </w:r>
            <w:r>
              <w:rPr>
                <w:color w:val="404040" w:themeColor="text1" w:themeTint="BF"/>
                <w:sz w:val="20"/>
                <w:szCs w:val="20"/>
              </w:rPr>
              <w:t xml:space="preserve"> </w:t>
            </w:r>
            <w:r w:rsidRPr="00D90DD4">
              <w:rPr>
                <w:i/>
                <w:color w:val="767171" w:themeColor="background2" w:themeShade="80"/>
                <w:sz w:val="20"/>
                <w:szCs w:val="20"/>
              </w:rPr>
              <w:t xml:space="preserve">Nami B et al., Cancers (Basel). 2018 Sep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5">
              <w:r>
                <w:rPr>
                  <w:sz w:val="20"/>
                  <w:rStyle w:val="Hyperlink"/>
                </w:rPr>
                <w:t xml:space="preserve">16236735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distinctive nature of HER2-positive breast cancers.</w:t>
            </w:r>
            <w:r>
              <w:rPr>
                <w:color w:val="404040" w:themeColor="text1" w:themeTint="BF"/>
                <w:sz w:val="20"/>
                <w:szCs w:val="20"/>
              </w:rPr>
              <w:t xml:space="preserve"> </w:t>
            </w:r>
            <w:r w:rsidRPr="00D90DD4">
              <w:rPr>
                <w:i/>
                <w:color w:val="767171" w:themeColor="background2" w:themeShade="80"/>
                <w:sz w:val="20"/>
                <w:szCs w:val="20"/>
              </w:rPr>
              <w:t xml:space="preserve">Burstein HJ, N Engl J Med. 2005 Oct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6">
              <w:r>
                <w:rPr>
                  <w:sz w:val="20"/>
                  <w:rStyle w:val="Hyperlink"/>
                </w:rPr>
                <w:t xml:space="preserve">22471661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Intrinsic and acquired resistance to HER2-targeted therapies in HER2 gene-amplified breast cancer: mechanisms and clinical implications.</w:t>
            </w:r>
            <w:r>
              <w:rPr>
                <w:color w:val="404040" w:themeColor="text1" w:themeTint="BF"/>
                <w:sz w:val="20"/>
                <w:szCs w:val="20"/>
              </w:rPr>
              <w:t xml:space="preserve"> </w:t>
            </w:r>
            <w:r w:rsidRPr="00D90DD4">
              <w:rPr>
                <w:i/>
                <w:color w:val="767171" w:themeColor="background2" w:themeShade="80"/>
                <w:sz w:val="20"/>
                <w:szCs w:val="20"/>
              </w:rPr>
              <w:t xml:space="preserve">Rexer BN et al., Crit Rev Oncog. 2012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7">
              <w:r>
                <w:rPr>
                  <w:sz w:val="20"/>
                  <w:rStyle w:val="Hyperlink"/>
                </w:rPr>
                <w:t xml:space="preserve">12214266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Anti-tumor activity of GW572016: a dual tyrosine kinase inhibitor blocks EGF activation of EGFR/erbB2 and downstream Erk1/2 and AKT pathways.</w:t>
            </w:r>
            <w:r>
              <w:rPr>
                <w:color w:val="404040" w:themeColor="text1" w:themeTint="BF"/>
                <w:sz w:val="20"/>
                <w:szCs w:val="20"/>
              </w:rPr>
              <w:t xml:space="preserve"> </w:t>
            </w:r>
            <w:r w:rsidRPr="00D90DD4">
              <w:rPr>
                <w:i/>
                <w:color w:val="767171" w:themeColor="background2" w:themeShade="80"/>
                <w:sz w:val="20"/>
                <w:szCs w:val="20"/>
              </w:rPr>
              <w:t xml:space="preserve">Xia W et al., Oncogene. 2002 Sep 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8">
              <w:r>
                <w:rPr>
                  <w:sz w:val="20"/>
                  <w:rStyle w:val="Hyperlink"/>
                </w:rPr>
                <w:t xml:space="preserve">34016991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HER2-positive breast cancer and tyrosine kinase inhibitors: the time is now.</w:t>
            </w:r>
            <w:r>
              <w:rPr>
                <w:color w:val="404040" w:themeColor="text1" w:themeTint="BF"/>
                <w:sz w:val="20"/>
                <w:szCs w:val="20"/>
              </w:rPr>
              <w:t xml:space="preserve"> </w:t>
            </w:r>
            <w:r w:rsidRPr="00D90DD4">
              <w:rPr>
                <w:i/>
                <w:color w:val="767171" w:themeColor="background2" w:themeShade="80"/>
                <w:sz w:val="20"/>
                <w:szCs w:val="20"/>
              </w:rPr>
              <w:t xml:space="preserve">Schlam I et al., NPJ Breast Cancer. 2021 May 20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9">
              <w:r>
                <w:rPr>
                  <w:sz w:val="20"/>
                  <w:rStyle w:val="Hyperlink"/>
                </w:rPr>
                <w:t xml:space="preserve">24876102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Neuromedin U: a candidate biomarker and therapeutic target to predict and overcome resistance to HER-tyrosine kinase inhibitors.</w:t>
            </w:r>
            <w:r>
              <w:rPr>
                <w:color w:val="404040" w:themeColor="text1" w:themeTint="BF"/>
                <w:sz w:val="20"/>
                <w:szCs w:val="20"/>
              </w:rPr>
              <w:t xml:space="preserve"> </w:t>
            </w:r>
            <w:r w:rsidRPr="00D90DD4">
              <w:rPr>
                <w:i/>
                <w:color w:val="767171" w:themeColor="background2" w:themeShade="80"/>
                <w:sz w:val="20"/>
                <w:szCs w:val="20"/>
              </w:rPr>
              <w:t xml:space="preserve">Rani S et al., Cancer Res. 2014 Jul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0">
              <w:r>
                <w:rPr>
                  <w:sz w:val="20"/>
                  <w:rStyle w:val="Hyperlink"/>
                </w:rPr>
                <w:t xml:space="preserve">26276735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Mechanisms of lapatinib resistance in HER2-driven breast cancer.</w:t>
            </w:r>
            <w:r>
              <w:rPr>
                <w:color w:val="404040" w:themeColor="text1" w:themeTint="BF"/>
                <w:sz w:val="20"/>
                <w:szCs w:val="20"/>
              </w:rPr>
              <w:t xml:space="preserve"> </w:t>
            </w:r>
            <w:r w:rsidRPr="00D90DD4">
              <w:rPr>
                <w:i/>
                <w:color w:val="767171" w:themeColor="background2" w:themeShade="80"/>
                <w:sz w:val="20"/>
                <w:szCs w:val="20"/>
              </w:rPr>
              <w:t xml:space="preserve">D'Amato V et al., Cancer Treat Rev. 2015 Dec</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1">
              <w:r>
                <w:rPr>
                  <w:sz w:val="20"/>
                  <w:rStyle w:val="Hyperlink"/>
                </w:rPr>
                <w:t xml:space="preserve">28487443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HER2 Reactivation through Acquisition of the HER2 L755S Mutation as a Mechanism of Acquired Resistance to HER2-targeted Therapy in HER2+ Breast Cancer.</w:t>
            </w:r>
            <w:r>
              <w:rPr>
                <w:color w:val="404040" w:themeColor="text1" w:themeTint="BF"/>
                <w:sz w:val="20"/>
                <w:szCs w:val="20"/>
              </w:rPr>
              <w:t xml:space="preserve"> </w:t>
            </w:r>
            <w:r w:rsidRPr="00D90DD4">
              <w:rPr>
                <w:i/>
                <w:color w:val="767171" w:themeColor="background2" w:themeShade="80"/>
                <w:sz w:val="20"/>
                <w:szCs w:val="20"/>
              </w:rPr>
              <w:t xml:space="preserve">Xu X et al., Clin Cancer Res. 2017 Sep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2">
              <w:r>
                <w:rPr>
                  <w:sz w:val="20"/>
                  <w:rStyle w:val="Hyperlink"/>
                </w:rPr>
                <w:t xml:space="preserve">33480963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Efficacy of Margetuximab vs Trastuzumab in Patients With Pretreated ERBB2-Positive Advanced Breast Cancer: A Phase 3 Randomized Clinical Trial.</w:t>
            </w:r>
            <w:r>
              <w:rPr>
                <w:color w:val="404040" w:themeColor="text1" w:themeTint="BF"/>
                <w:sz w:val="20"/>
                <w:szCs w:val="20"/>
              </w:rPr>
              <w:t xml:space="preserve"> </w:t>
            </w:r>
            <w:r w:rsidRPr="00D90DD4">
              <w:rPr>
                <w:i/>
                <w:color w:val="767171" w:themeColor="background2" w:themeShade="80"/>
                <w:sz w:val="20"/>
                <w:szCs w:val="20"/>
              </w:rPr>
              <w:t xml:space="preserve">Rugo HS et al., JAMA Oncol. 2021 Apr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3">
              <w:r>
                <w:rPr>
                  <w:sz w:val="20"/>
                  <w:rStyle w:val="Hyperlink"/>
                </w:rPr>
                <w:t xml:space="preserve">30911337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HER2-positive breast cancer: new therapeutic frontiers and overcoming resistance.</w:t>
            </w:r>
            <w:r>
              <w:rPr>
                <w:color w:val="404040" w:themeColor="text1" w:themeTint="BF"/>
                <w:sz w:val="20"/>
                <w:szCs w:val="20"/>
              </w:rPr>
              <w:t xml:space="preserve"> </w:t>
            </w:r>
            <w:r w:rsidRPr="00D90DD4">
              <w:rPr>
                <w:i/>
                <w:color w:val="767171" w:themeColor="background2" w:themeShade="80"/>
                <w:sz w:val="20"/>
                <w:szCs w:val="20"/>
              </w:rPr>
              <w:t xml:space="preserve">Pernas S et al., Ther Adv Med Oncol. 2019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4">
              <w:r>
                <w:rPr>
                  <w:sz w:val="20"/>
                  <w:rStyle w:val="Hyperlink"/>
                </w:rPr>
                <w:t xml:space="preserve">15173008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Antitumor activity of HKI-272, an orally active, irreversible inhibitor of the HER-2 tyrosine kinase.</w:t>
            </w:r>
            <w:r>
              <w:rPr>
                <w:color w:val="404040" w:themeColor="text1" w:themeTint="BF"/>
                <w:sz w:val="20"/>
                <w:szCs w:val="20"/>
              </w:rPr>
              <w:t xml:space="preserve"> </w:t>
            </w:r>
            <w:r w:rsidRPr="00D90DD4">
              <w:rPr>
                <w:i/>
                <w:color w:val="767171" w:themeColor="background2" w:themeShade="80"/>
                <w:sz w:val="20"/>
                <w:szCs w:val="20"/>
              </w:rPr>
              <w:t xml:space="preserve">Rabindran SK et al., Cancer Res. 2004 Jun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5">
              <w:r>
                <w:rPr>
                  <w:sz w:val="20"/>
                  <w:rStyle w:val="Hyperlink"/>
                </w:rPr>
                <w:t xml:space="preserve">12502359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Synthesis and structure-activity relationships of 6,7-disubstituted 4-anilinoquinoline-3-carbonitriles. The design of an orally active, irreversible inhibitor of the tyrosine kinase activity of the epidermal growth factor receptor (EGFR) and the human epidermal growth factor receptor-2 (HER-2).</w:t>
            </w:r>
            <w:r>
              <w:rPr>
                <w:color w:val="404040" w:themeColor="text1" w:themeTint="BF"/>
                <w:sz w:val="20"/>
                <w:szCs w:val="20"/>
              </w:rPr>
              <w:t xml:space="preserve"> </w:t>
            </w:r>
            <w:r w:rsidRPr="00D90DD4">
              <w:rPr>
                <w:i/>
                <w:color w:val="767171" w:themeColor="background2" w:themeShade="80"/>
                <w:sz w:val="20"/>
                <w:szCs w:val="20"/>
              </w:rPr>
              <w:t xml:space="preserve">Wissner A et al., J Med Chem. 2003 Jan 02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6">
              <w:r>
                <w:rPr>
                  <w:sz w:val="20"/>
                  <w:rStyle w:val="Hyperlink"/>
                </w:rPr>
                <w:t xml:space="preserve">21487605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genome-wide RNAi screen identifies novel targets of neratinib sensitivity leading to neratinib and paclitaxel combination drug treatments.</w:t>
            </w:r>
            <w:r>
              <w:rPr>
                <w:color w:val="404040" w:themeColor="text1" w:themeTint="BF"/>
                <w:sz w:val="20"/>
                <w:szCs w:val="20"/>
              </w:rPr>
              <w:t xml:space="preserve"> </w:t>
            </w:r>
            <w:r w:rsidRPr="00D90DD4">
              <w:rPr>
                <w:i/>
                <w:color w:val="767171" w:themeColor="background2" w:themeShade="80"/>
                <w:sz w:val="20"/>
                <w:szCs w:val="20"/>
              </w:rPr>
              <w:t xml:space="preserve">Seyhan AA et al., Mol Biosyst. 2011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7">
              <w:r>
                <w:rPr>
                  <w:sz w:val="20"/>
                  <w:rStyle w:val="Hyperlink"/>
                </w:rPr>
                <w:t xml:space="preserve">28152547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Neratinib resistance and cross-resistance to other HER2-targeted drugs due to increased activity of metabolism enzyme cytochrome P4503A4.</w:t>
            </w:r>
            <w:r>
              <w:rPr>
                <w:color w:val="404040" w:themeColor="text1" w:themeTint="BF"/>
                <w:sz w:val="20"/>
                <w:szCs w:val="20"/>
              </w:rPr>
              <w:t xml:space="preserve"> </w:t>
            </w:r>
            <w:r w:rsidRPr="00D90DD4">
              <w:rPr>
                <w:i/>
                <w:color w:val="767171" w:themeColor="background2" w:themeShade="80"/>
                <w:sz w:val="20"/>
                <w:szCs w:val="20"/>
              </w:rPr>
              <w:t xml:space="preserve">Breslin S et al., Br J Cancer. 2017 Feb 28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8">
              <w:r>
                <w:rPr>
                  <w:sz w:val="20"/>
                  <w:rStyle w:val="Hyperlink"/>
                </w:rPr>
                <w:t xml:space="preserve">28053022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Phase I Study of ONT-380, a HER2 Inhibitor, in Patients with HER2+-Advanced Solid Tumors, with an Expansion Cohort in HER2Metastatic Breast Cancer (MBC).</w:t>
            </w:r>
            <w:r>
              <w:rPr>
                <w:color w:val="404040" w:themeColor="text1" w:themeTint="BF"/>
                <w:sz w:val="20"/>
                <w:szCs w:val="20"/>
              </w:rPr>
              <w:t xml:space="preserve"> </w:t>
            </w:r>
            <w:r w:rsidRPr="00D90DD4">
              <w:rPr>
                <w:i/>
                <w:color w:val="767171" w:themeColor="background2" w:themeShade="80"/>
                <w:sz w:val="20"/>
                <w:szCs w:val="20"/>
              </w:rPr>
              <w:t xml:space="preserve">Moulder SL et al., Clin Cancer Res. 2017 Jul 15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9">
              <w:r>
                <w:rPr>
                  <w:sz w:val="20"/>
                  <w:rStyle w:val="Hyperlink"/>
                </w:rPr>
                <w:t xml:space="preserve">32289275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Response and Resistance to BCR-ABL1-Targeted Therapies.</w:t>
            </w:r>
            <w:r>
              <w:rPr>
                <w:color w:val="404040" w:themeColor="text1" w:themeTint="BF"/>
                <w:sz w:val="20"/>
                <w:szCs w:val="20"/>
              </w:rPr>
              <w:t xml:space="preserve"> </w:t>
            </w:r>
            <w:r w:rsidRPr="00D90DD4">
              <w:rPr>
                <w:i/>
                <w:color w:val="767171" w:themeColor="background2" w:themeShade="80"/>
                <w:sz w:val="20"/>
                <w:szCs w:val="20"/>
              </w:rPr>
              <w:t xml:space="preserve">Braun TP et al., Cancer Cell. 2020 04 13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0">
              <w:r>
                <w:rPr>
                  <w:sz w:val="20"/>
                  <w:rStyle w:val="Hyperlink"/>
                </w:rPr>
                <w:t xml:space="preserve">34407542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phase 3, open-label, randomized study of asciminib, a STAMP inhibitor, vs bosutinib in CML after 2 or more prior TKIs.</w:t>
            </w:r>
            <w:r>
              <w:rPr>
                <w:color w:val="404040" w:themeColor="text1" w:themeTint="BF"/>
                <w:sz w:val="20"/>
                <w:szCs w:val="20"/>
              </w:rPr>
              <w:t xml:space="preserve"> </w:t>
            </w:r>
            <w:r w:rsidRPr="00D90DD4">
              <w:rPr>
                <w:i/>
                <w:color w:val="767171" w:themeColor="background2" w:themeShade="80"/>
                <w:sz w:val="20"/>
                <w:szCs w:val="20"/>
              </w:rPr>
              <w:t xml:space="preserve">Réa D et al., Blood. 2021 11 25</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1">
              <w:r>
                <w:rPr>
                  <w:sz w:val="20"/>
                  <w:rStyle w:val="Hyperlink"/>
                </w:rPr>
                <w:t xml:space="preserve">28329763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allosteric inhibitor ABL001 enables dual targeting of BCR-ABL1.</w:t>
            </w:r>
            <w:r>
              <w:rPr>
                <w:color w:val="404040" w:themeColor="text1" w:themeTint="BF"/>
                <w:sz w:val="20"/>
                <w:szCs w:val="20"/>
              </w:rPr>
              <w:t xml:space="preserve"> </w:t>
            </w:r>
            <w:r w:rsidRPr="00D90DD4">
              <w:rPr>
                <w:i/>
                <w:color w:val="767171" w:themeColor="background2" w:themeShade="80"/>
                <w:sz w:val="20"/>
                <w:szCs w:val="20"/>
              </w:rPr>
              <w:t xml:space="preserve">Wylie AA et al., Nature. 2017 03 30</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2">
              <w:r>
                <w:rPr>
                  <w:sz w:val="20"/>
                  <w:rStyle w:val="Hyperlink"/>
                </w:rPr>
                <w:t xml:space="preserve">28819281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Mechanisms of resistance to the BCR-ABL1 allosteric inhibitor asciminib.</w:t>
            </w:r>
            <w:r>
              <w:rPr>
                <w:color w:val="404040" w:themeColor="text1" w:themeTint="BF"/>
                <w:sz w:val="20"/>
                <w:szCs w:val="20"/>
              </w:rPr>
              <w:t xml:space="preserve"> </w:t>
            </w:r>
            <w:r w:rsidRPr="00D90DD4">
              <w:rPr>
                <w:i/>
                <w:color w:val="767171" w:themeColor="background2" w:themeShade="80"/>
                <w:sz w:val="20"/>
                <w:szCs w:val="20"/>
              </w:rPr>
              <w:t xml:space="preserve">Qiang W et al., Leukemia. 2017 12</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3">
              <w:r>
                <w:rPr>
                  <w:sz w:val="20"/>
                  <w:rStyle w:val="Hyperlink"/>
                </w:rPr>
                <w:t xml:space="preserve">31543464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Combining the Allosteric Inhibitor Asciminib with Ponatinib Suppresses Emergence of and Restores Efficacy against Highly Resistant BCR-ABL1 Mutants.</w:t>
            </w:r>
            <w:r>
              <w:rPr>
                <w:color w:val="404040" w:themeColor="text1" w:themeTint="BF"/>
                <w:sz w:val="20"/>
                <w:szCs w:val="20"/>
              </w:rPr>
              <w:t xml:space="preserve"> </w:t>
            </w:r>
            <w:r w:rsidRPr="00D90DD4">
              <w:rPr>
                <w:i/>
                <w:color w:val="767171" w:themeColor="background2" w:themeShade="80"/>
                <w:sz w:val="20"/>
                <w:szCs w:val="20"/>
              </w:rPr>
              <w:t xml:space="preserve">Eide CA et al., Cancer Cell. 2019 10 14</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4">
              <w:r>
                <w:rPr>
                  <w:sz w:val="20"/>
                  <w:rStyle w:val="Hyperlink"/>
                </w:rPr>
                <w:t xml:space="preserve">24420842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Bosutinib: a review of its use in patients with Philadelphia chromosome-positive chronic myelogenous leukemia.</w:t>
            </w:r>
            <w:r>
              <w:rPr>
                <w:color w:val="404040" w:themeColor="text1" w:themeTint="BF"/>
                <w:sz w:val="20"/>
                <w:szCs w:val="20"/>
              </w:rPr>
              <w:t xml:space="preserve"> </w:t>
            </w:r>
            <w:r w:rsidRPr="00D90DD4">
              <w:rPr>
                <w:i/>
                <w:color w:val="767171" w:themeColor="background2" w:themeShade="80"/>
                <w:sz w:val="20"/>
                <w:szCs w:val="20"/>
              </w:rPr>
              <w:t xml:space="preserve">Syed YY et al., BioDrugs. 2014 Feb</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5">
              <w:r>
                <w:rPr>
                  <w:sz w:val="20"/>
                  <w:rStyle w:val="Hyperlink"/>
                </w:rPr>
                <w:t xml:space="preserve">31833784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role of bosutinib in the treatment of chronic myeloid leukemia.</w:t>
            </w:r>
            <w:r>
              <w:rPr>
                <w:color w:val="404040" w:themeColor="text1" w:themeTint="BF"/>
                <w:sz w:val="20"/>
                <w:szCs w:val="20"/>
              </w:rPr>
              <w:t xml:space="preserve"> </w:t>
            </w:r>
            <w:r w:rsidRPr="00D90DD4">
              <w:rPr>
                <w:i/>
                <w:color w:val="767171" w:themeColor="background2" w:themeShade="80"/>
                <w:sz w:val="20"/>
                <w:szCs w:val="20"/>
              </w:rPr>
              <w:t xml:space="preserve">Gambacorti-Passerini C et al., Future Oncol. 2020 01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6">
              <w:r>
                <w:rPr>
                  <w:sz w:val="20"/>
                  <w:rStyle w:val="Hyperlink"/>
                </w:rPr>
                <w:t xml:space="preserve">28032244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Dasatinib: A Review in Chronic Myeloid Leukaemia and Ph+ Acute Lymphoblastic Leukaemia.</w:t>
            </w:r>
            <w:r>
              <w:rPr>
                <w:color w:val="404040" w:themeColor="text1" w:themeTint="BF"/>
                <w:sz w:val="20"/>
                <w:szCs w:val="20"/>
              </w:rPr>
              <w:t xml:space="preserve"> </w:t>
            </w:r>
            <w:r w:rsidRPr="00D90DD4">
              <w:rPr>
                <w:i/>
                <w:color w:val="767171" w:themeColor="background2" w:themeShade="80"/>
                <w:sz w:val="20"/>
                <w:szCs w:val="20"/>
              </w:rPr>
              <w:t xml:space="preserve">Keating GM, Drugs. 2017 Jan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7">
              <w:r>
                <w:rPr>
                  <w:sz w:val="20"/>
                  <w:rStyle w:val="Hyperlink"/>
                </w:rPr>
                <w:t xml:space="preserve">31612105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BCR-ABL Independent Mechanisms of Resistance in Chronic Myeloid Leukemia.</w:t>
            </w:r>
            <w:r>
              <w:rPr>
                <w:color w:val="404040" w:themeColor="text1" w:themeTint="BF"/>
                <w:sz w:val="20"/>
                <w:szCs w:val="20"/>
              </w:rPr>
              <w:t xml:space="preserve"> </w:t>
            </w:r>
            <w:r w:rsidRPr="00D90DD4">
              <w:rPr>
                <w:i/>
                <w:color w:val="767171" w:themeColor="background2" w:themeShade="80"/>
                <w:sz w:val="20"/>
                <w:szCs w:val="20"/>
              </w:rPr>
              <w:t xml:space="preserve">Loscocco F et al., Front Oncol. 2019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8">
              <w:r>
                <w:rPr>
                  <w:sz w:val="20"/>
                  <w:rStyle w:val="Hyperlink"/>
                </w:rPr>
                <w:t xml:space="preserve">34002056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Kinase drug discovery 20 years after imatinib: progress and future directions.</w:t>
            </w:r>
            <w:r>
              <w:rPr>
                <w:color w:val="404040" w:themeColor="text1" w:themeTint="BF"/>
                <w:sz w:val="20"/>
                <w:szCs w:val="20"/>
              </w:rPr>
              <w:t xml:space="preserve"> </w:t>
            </w:r>
            <w:r w:rsidRPr="00D90DD4">
              <w:rPr>
                <w:i/>
                <w:color w:val="767171" w:themeColor="background2" w:themeShade="80"/>
                <w:sz w:val="20"/>
                <w:szCs w:val="20"/>
              </w:rPr>
              <w:t xml:space="preserve">Cohen P et al., Nat Rev Drug Discov. 2021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9">
              <w:r>
                <w:rPr>
                  <w:sz w:val="20"/>
                  <w:rStyle w:val="Hyperlink"/>
                </w:rPr>
                <w:t xml:space="preserve">34322383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Early and Next-Generation KIT/PDGFRA Kinase Inhibitors and the Future of Treatment for Advanced Gastrointestinal Stromal Tumor.</w:t>
            </w:r>
            <w:r>
              <w:rPr>
                <w:color w:val="404040" w:themeColor="text1" w:themeTint="BF"/>
                <w:sz w:val="20"/>
                <w:szCs w:val="20"/>
              </w:rPr>
              <w:t xml:space="preserve"> </w:t>
            </w:r>
            <w:r w:rsidRPr="00D90DD4">
              <w:rPr>
                <w:i/>
                <w:color w:val="767171" w:themeColor="background2" w:themeShade="80"/>
                <w:sz w:val="20"/>
                <w:szCs w:val="20"/>
              </w:rPr>
              <w:t xml:space="preserve">Bauer S et al., Front Oncol. 2021</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0">
              <w:r>
                <w:rPr>
                  <w:sz w:val="20"/>
                  <w:rStyle w:val="Hyperlink"/>
                </w:rPr>
                <w:t xml:space="preserve">22207690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Chronic phase chronic myeloid leukemia patients with low OCT-1 activity randomized to high-dose imatinib achieve better responses and have lower failure rates than those randomized to standard-dose imatinib.</w:t>
            </w:r>
            <w:r>
              <w:rPr>
                <w:color w:val="404040" w:themeColor="text1" w:themeTint="BF"/>
                <w:sz w:val="20"/>
                <w:szCs w:val="20"/>
              </w:rPr>
              <w:t xml:space="preserve"> </w:t>
            </w:r>
            <w:r w:rsidRPr="00D90DD4">
              <w:rPr>
                <w:i/>
                <w:color w:val="767171" w:themeColor="background2" w:themeShade="80"/>
                <w:sz w:val="20"/>
                <w:szCs w:val="20"/>
              </w:rPr>
              <w:t xml:space="preserve">White DL et al., Haematologica. 2012 Jun</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1">
              <w:r>
                <w:rPr>
                  <w:sz w:val="20"/>
                  <w:rStyle w:val="Hyperlink"/>
                </w:rPr>
                <w:t xml:space="preserve">23610618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Management of imatinib-resistant patients with chronic myeloid leukemia.</w:t>
            </w:r>
            <w:r>
              <w:rPr>
                <w:color w:val="404040" w:themeColor="text1" w:themeTint="BF"/>
                <w:sz w:val="20"/>
                <w:szCs w:val="20"/>
              </w:rPr>
              <w:t xml:space="preserve"> </w:t>
            </w:r>
            <w:r w:rsidRPr="00D90DD4">
              <w:rPr>
                <w:i/>
                <w:color w:val="767171" w:themeColor="background2" w:themeShade="80"/>
                <w:sz w:val="20"/>
                <w:szCs w:val="20"/>
              </w:rPr>
              <w:t xml:space="preserve">Bhamidipati PK et al., Ther Adv Hematol. 2013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2">
              <w:r>
                <w:rPr>
                  <w:sz w:val="20"/>
                  <w:rStyle w:val="Hyperlink"/>
                </w:rPr>
                <w:t xml:space="preserve">22942908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Current and emerging strategies for the management of imatinib-refractory advanced gastrointestinal stromal tumors.</w:t>
            </w:r>
            <w:r>
              <w:rPr>
                <w:color w:val="404040" w:themeColor="text1" w:themeTint="BF"/>
                <w:sz w:val="20"/>
                <w:szCs w:val="20"/>
              </w:rPr>
              <w:t xml:space="preserve"> </w:t>
            </w:r>
            <w:r w:rsidRPr="00D90DD4">
              <w:rPr>
                <w:i/>
                <w:color w:val="767171" w:themeColor="background2" w:themeShade="80"/>
                <w:sz w:val="20"/>
                <w:szCs w:val="20"/>
              </w:rPr>
              <w:t xml:space="preserve">Kee D et al., Ther Adv Med Oncol. 2012 Sep</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3">
              <w:r>
                <w:rPr>
                  <w:sz w:val="20"/>
                  <w:rStyle w:val="Hyperlink"/>
                </w:rPr>
                <w:t xml:space="preserve">16721371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AMN107 (nilotinib): a novel and selective inhibitor of BCR-ABL.</w:t>
            </w:r>
            <w:r>
              <w:rPr>
                <w:color w:val="404040" w:themeColor="text1" w:themeTint="BF"/>
                <w:sz w:val="20"/>
                <w:szCs w:val="20"/>
              </w:rPr>
              <w:t xml:space="preserve"> </w:t>
            </w:r>
            <w:r w:rsidRPr="00D90DD4">
              <w:rPr>
                <w:i/>
                <w:color w:val="767171" w:themeColor="background2" w:themeShade="80"/>
                <w:sz w:val="20"/>
                <w:szCs w:val="20"/>
              </w:rPr>
              <w:t xml:space="preserve">Weisberg E et al., Br J Cancer. 2006 Jun 19</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4">
              <w:r>
                <w:rPr>
                  <w:sz w:val="20"/>
                  <w:rStyle w:val="Hyperlink"/>
                </w:rPr>
                <w:t xml:space="preserve">21419934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Nilotinib: a novel, selective tyrosine kinase inhibitor.</w:t>
            </w:r>
            <w:r>
              <w:rPr>
                <w:color w:val="404040" w:themeColor="text1" w:themeTint="BF"/>
                <w:sz w:val="20"/>
                <w:szCs w:val="20"/>
              </w:rPr>
              <w:t xml:space="preserve"> </w:t>
            </w:r>
            <w:r w:rsidRPr="00D90DD4">
              <w:rPr>
                <w:i/>
                <w:color w:val="767171" w:themeColor="background2" w:themeShade="80"/>
                <w:sz w:val="20"/>
                <w:szCs w:val="20"/>
              </w:rPr>
              <w:t xml:space="preserve">Blay JY et al., Semin Oncol. 2011 Apr</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5">
              <w:r>
                <w:rPr>
                  <w:sz w:val="20"/>
                  <w:rStyle w:val="Hyperlink"/>
                </w:rPr>
                <w:t xml:space="preserve">19878872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AP24534, a pan-BCR-ABL inhibitor for chronic myeloid leukemia, potently inhibits the T315I mutant and overcomes mutation-based resistance.</w:t>
            </w:r>
            <w:r>
              <w:rPr>
                <w:color w:val="404040" w:themeColor="text1" w:themeTint="BF"/>
                <w:sz w:val="20"/>
                <w:szCs w:val="20"/>
              </w:rPr>
              <w:t xml:space="preserve"> </w:t>
            </w:r>
            <w:r w:rsidRPr="00D90DD4">
              <w:rPr>
                <w:i/>
                <w:color w:val="767171" w:themeColor="background2" w:themeShade="80"/>
                <w:sz w:val="20"/>
                <w:szCs w:val="20"/>
              </w:rPr>
              <w:t xml:space="preserve">O'Hare T et al., Cancer Cell. 2009 Nov 06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6">
              <w:r>
                <w:rPr>
                  <w:sz w:val="20"/>
                  <w:rStyle w:val="Hyperlink"/>
                </w:rPr>
                <w:t xml:space="preserve">32145037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multi-tyrosine kinase inhibitor ponatinib for chronic myeloid leukemia: Real-world data.</w:t>
            </w:r>
            <w:r>
              <w:rPr>
                <w:color w:val="404040" w:themeColor="text1" w:themeTint="BF"/>
                <w:sz w:val="20"/>
                <w:szCs w:val="20"/>
              </w:rPr>
              <w:t xml:space="preserve"> </w:t>
            </w:r>
            <w:r w:rsidRPr="00D90DD4">
              <w:rPr>
                <w:i/>
                <w:color w:val="767171" w:themeColor="background2" w:themeShade="80"/>
                <w:sz w:val="20"/>
                <w:szCs w:val="20"/>
              </w:rPr>
              <w:t xml:space="preserve">Luciano L et al., Eur J Haematol. 2020 Jul</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7">
              <w:r>
                <w:rPr>
                  <w:sz w:val="20"/>
                  <w:rStyle w:val="Hyperlink"/>
                </w:rPr>
                <w:t xml:space="preserve">29567798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Ponatinib efficacy and safety in Philadelphia chromosome-positive leukemia: final 5-year results of the phase 2 PACE trial.</w:t>
            </w:r>
            <w:r>
              <w:rPr>
                <w:color w:val="404040" w:themeColor="text1" w:themeTint="BF"/>
                <w:sz w:val="20"/>
                <w:szCs w:val="20"/>
              </w:rPr>
              <w:t xml:space="preserve"> </w:t>
            </w:r>
            <w:r w:rsidRPr="00D90DD4">
              <w:rPr>
                <w:i/>
                <w:color w:val="767171" w:themeColor="background2" w:themeShade="80"/>
                <w:sz w:val="20"/>
                <w:szCs w:val="20"/>
              </w:rPr>
              <w:t xml:space="preserve">Cortes JE et al., Blood. 2018 07 26</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8">
              <w:r>
                <w:rPr>
                  <w:sz w:val="20"/>
                  <w:rStyle w:val="Hyperlink"/>
                </w:rPr>
                <w:t xml:space="preserve">24180494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phase 2 trial of ponatinib in Philadelphia chromosome-positive leukemias.</w:t>
            </w:r>
            <w:r>
              <w:rPr>
                <w:color w:val="404040" w:themeColor="text1" w:themeTint="BF"/>
                <w:sz w:val="20"/>
                <w:szCs w:val="20"/>
              </w:rPr>
              <w:t xml:space="preserve"> </w:t>
            </w:r>
            <w:r w:rsidRPr="00D90DD4">
              <w:rPr>
                <w:i/>
                <w:color w:val="767171" w:themeColor="background2" w:themeShade="80"/>
                <w:sz w:val="20"/>
                <w:szCs w:val="20"/>
              </w:rPr>
              <w:t xml:space="preserve">Cortes JE et al., N Engl J Med. 2013 Nov 07</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9">
              <w:r>
                <w:rPr>
                  <w:sz w:val="20"/>
                  <w:rStyle w:val="Hyperlink"/>
                </w:rPr>
                <w:t xml:space="preserve">28969556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Ponatinib: A Review of Efficacy and Safety.</w:t>
            </w:r>
            <w:r>
              <w:rPr>
                <w:color w:val="404040" w:themeColor="text1" w:themeTint="BF"/>
                <w:sz w:val="20"/>
                <w:szCs w:val="20"/>
              </w:rPr>
              <w:t xml:space="preserve"> </w:t>
            </w:r>
            <w:r w:rsidRPr="00D90DD4">
              <w:rPr>
                <w:i/>
                <w:color w:val="767171" w:themeColor="background2" w:themeShade="80"/>
                <w:sz w:val="20"/>
                <w:szCs w:val="20"/>
              </w:rPr>
              <w:t xml:space="preserve">Massaro F et al., Curr Cancer Drug Targets. 2018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0">
              <w:r>
                <w:rPr>
                  <w:sz w:val="20"/>
                  <w:rStyle w:val="Hyperlink"/>
                </w:rPr>
                <w:t xml:space="preserve">29411417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Chronic myeloid leukemia: 2018 update on diagnosis, therapy and monitoring.</w:t>
            </w:r>
            <w:r>
              <w:rPr>
                <w:color w:val="404040" w:themeColor="text1" w:themeTint="BF"/>
                <w:sz w:val="20"/>
                <w:szCs w:val="20"/>
              </w:rPr>
              <w:t xml:space="preserve"> </w:t>
            </w:r>
            <w:r w:rsidRPr="00D90DD4">
              <w:rPr>
                <w:i/>
                <w:color w:val="767171" w:themeColor="background2" w:themeShade="80"/>
                <w:sz w:val="20"/>
                <w:szCs w:val="20"/>
              </w:rPr>
              <w:t xml:space="preserve">Jabbour E et al., Am J Hematol. 2018 03</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1">
              <w:r>
                <w:rPr>
                  <w:sz w:val="20"/>
                  <w:rStyle w:val="Hyperlink"/>
                </w:rPr>
                <w:t xml:space="preserve">25132497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BCR-ABL1 compound mutations combining key kinase domain positions confer clinical resistance to ponatinib in Ph chromosome-positive leukemia.</w:t>
            </w:r>
            <w:r>
              <w:rPr>
                <w:color w:val="404040" w:themeColor="text1" w:themeTint="BF"/>
                <w:sz w:val="20"/>
                <w:szCs w:val="20"/>
              </w:rPr>
              <w:t xml:space="preserve"> </w:t>
            </w:r>
            <w:r w:rsidRPr="00D90DD4">
              <w:rPr>
                <w:i/>
                <w:color w:val="767171" w:themeColor="background2" w:themeShade="80"/>
                <w:sz w:val="20"/>
                <w:szCs w:val="20"/>
              </w:rPr>
              <w:t xml:space="preserve">Zabriskie MS et al., Cancer Cell. 2014 Sep 08</w:t>
            </w:r>
            <w:r w:rsidRPr="00C239AE">
              <w:rPr>
                <w:color w:val="404040" w:themeColor="text1" w:themeTint="BF"/>
                <w:sz w:val="20"/>
                <w:szCs w:val="20"/>
              </w:rPr>
              <w:t/>
            </w:r>
          </w:p>
        </w:tc>
      </w:tr>
      <w:tr w:rsidR="00EF0A3D" w:rsidRPr="005D7FE8" w14:paraId="535CCF08"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990B706"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2">
              <w:r>
                <w:rPr>
                  <w:sz w:val="20"/>
                  <w:rStyle w:val="Hyperlink"/>
                </w:rPr>
                <w:t xml:space="preserve">26603839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3FCA6A4C"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Compound mutations in BCR-ABL1 are not major drivers of primary or secondary resistance to ponatinib in CP-CML patients.</w:t>
            </w:r>
            <w:r>
              <w:rPr>
                <w:color w:val="404040" w:themeColor="text1" w:themeTint="BF"/>
                <w:sz w:val="20"/>
                <w:szCs w:val="20"/>
              </w:rPr>
              <w:t xml:space="preserve"> </w:t>
            </w:r>
            <w:r w:rsidRPr="00D90DD4">
              <w:rPr>
                <w:i/>
                <w:color w:val="767171" w:themeColor="background2" w:themeShade="80"/>
                <w:sz w:val="20"/>
                <w:szCs w:val="20"/>
              </w:rPr>
              <w:t xml:space="preserve">Deininger MW et al., Blood. 2016 Feb 11</w:t>
            </w:r>
            <w:r w:rsidRPr="00C239AE">
              <w:rPr>
                <w:color w:val="404040" w:themeColor="text1" w:themeTint="BF"/>
                <w:sz w:val="20"/>
                <w:szCs w:val="20"/>
              </w:rPr>
              <w:t/>
            </w:r>
          </w:p>
        </w:tc>
      </w:tr>
    </w:tbl>
    <w:p w14:paraId="2A7F558D" w14:textId="77777777" w:rsidR="00EF0A3D" w:rsidRDefault="00EF0A3D" w:rsidP="00EF0A3D">
      <w:pPr>
        <w:spacing w:before="200"/>
        <w:rPr>
          <w:b/>
          <w:bCs/>
          <w:color w:val="0D0D0D" w:themeColor="text1" w:themeTint="F2"/>
          <w:szCs w:val="20"/>
        </w:rPr>
      </w:pPr>
    </w:p>
    <w:p w14:paraId="7201CE6C" w14:textId="77777777" w:rsidR="00EF0A3D" w:rsidRPr="00F738DD" w:rsidRDefault="00EF0A3D" w:rsidP="00EF0A3D">
      <w:pPr>
        <w:spacing w:before="200"/>
        <w:rPr>
          <w:b/>
          <w:bCs/>
          <w:color w:val="0D0D0D" w:themeColor="text1" w:themeTint="F2"/>
          <w:szCs w:val="20"/>
        </w:rPr>
      </w:pPr>
      <w:r>
        <w:rPr>
          <w:b/>
          <w:bCs/>
          <w:color w:val="0D0D0D" w:themeColor="text1" w:themeTint="F2"/>
          <w:szCs w:val="20"/>
        </w:rPr>
        <w:t xml:space="preserve">INLINE REFERENCES OF CLINICAL TRIALS</w:t>
      </w:r>
    </w:p>
    <w:tbl>
      <w:tblPr>
        <w:tblStyle w:val="ListTable6Colorful-Accent3"/>
        <w:tblW w:w="10800" w:type="dxa"/>
        <w:tblLook w:val="04A0" w:firstRow="1" w:lastRow="0" w:firstColumn="1" w:lastColumn="0" w:noHBand="0" w:noVBand="1"/>
      </w:tblPr>
      <w:tblGrid>
        <w:gridCol w:w="3064"/>
        <w:gridCol w:w="7736"/>
      </w:tblGrid>
      <w:tr w:rsidR="00EF0A3D" w:rsidRPr="00D7205E" w14:paraId="4D120302" w14:textId="77777777" w:rsidTr="00545CC8">
        <w:trPr>
          <w:cnfStyle w:val="100000000000" w:firstRow="1" w:lastRow="0" w:firstColumn="0" w:lastColumn="0" w:oddVBand="0" w:evenVBand="0" w:oddHBand="0" w:evenHBand="0" w:firstRowFirstColumn="0" w:firstRowLastColumn="0" w:lastRowFirstColumn="0" w:lastRowLastColumn="0"/>
          <w:cantSplit/>
          <w:trHeight w:val="239"/>
          <w:tblHeader/>
        </w:trPr>
        <w:tc>
          <w:tcPr>
            <w:cnfStyle w:val="001000000000" w:firstRow="0" w:lastRow="0" w:firstColumn="1" w:lastColumn="0" w:oddVBand="0" w:evenVBand="0" w:oddHBand="0" w:evenHBand="0" w:firstRowFirstColumn="0" w:firstRowLastColumn="0" w:lastRowFirstColumn="0" w:lastRowLastColumn="0"/>
            <w:tcW w:w="2250" w:type="dxa"/>
            <w:vAlign w:val="bottom"/>
          </w:tcPr>
          <w:p w14:paraId="4A58FB05" w14:textId="77777777" w:rsidR="00EF0A3D" w:rsidRPr="00D7205E" w:rsidRDefault="00EF0A3D" w:rsidP="00545CC8">
            <w:pPr>
              <w:rPr>
                <w:rFonts w:cstheme="minorHAnsi"/>
                <w:color w:val="0D0D0D" w:themeColor="text1" w:themeTint="F2"/>
                <w:sz w:val="20"/>
                <w:szCs w:val="20"/>
              </w:rPr>
            </w:pPr>
            <w:r>
              <w:rPr>
                <w:rFonts w:cstheme="minorHAnsi"/>
                <w:color w:val="0D0D0D" w:themeColor="text1" w:themeTint="F2"/>
                <w:sz w:val="20"/>
                <w:szCs w:val="20"/>
              </w:rPr>
              <w:t xml:space="preserve">CLINICALTRIALS.GOV ID</w:t>
            </w:r>
          </w:p>
        </w:tc>
        <w:tc>
          <w:tcPr>
            <w:tcW w:w="8550" w:type="dxa"/>
            <w:vAlign w:val="bottom"/>
          </w:tcPr>
          <w:p w14:paraId="52A2DD56" w14:textId="77777777" w:rsidR="00EF0A3D" w:rsidRPr="00D7205E" w:rsidRDefault="00EF0A3D" w:rsidP="00545CC8">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Citation</w:t>
            </w:r>
          </w:p>
        </w:tc>
      </w:tr>
      <w:tr w:rsidR="00EF0A3D" w:rsidRPr="005D7FE8" w14:paraId="645DE9B2"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250" w:type="dxa"/>
            <w:vAlign w:val="center"/>
          </w:tcPr>
          <w:p w14:paraId="470A4A9A"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3">
              <w:r>
                <w:rPr>
                  <w:sz w:val="20"/>
                  <w:rStyle w:val="Hyperlink"/>
                </w:rPr>
                <w:t xml:space="preserve">NCT04507919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70DCDED8"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Managed Access Program Cohort Treatment Plan CTMT212X2002I to Provide Access to Trametinib and Dabrafenib Combination Therapy for Patients With BRAF V600 Mutation-positive Advanced Non-Small Cell Lung Cancer</w:t>
            </w:r>
            <w:r>
              <w:rPr>
                <w:color w:val="404040" w:themeColor="text1" w:themeTint="BF"/>
                <w:sz w:val="20"/>
                <w:szCs w:val="20"/>
              </w:rPr>
              <w:t xml:space="preserve"> </w:t>
            </w:r>
            <w:r w:rsidRPr="00D90DD4">
              <w:rPr>
                <w:i/>
                <w:color w:val="767171" w:themeColor="background2" w:themeShade="80"/>
                <w:sz w:val="20"/>
                <w:szCs w:val="20"/>
              </w:rPr>
              <w:t xml:space="preserve">NA, Available started null</w:t>
            </w:r>
            <w:r w:rsidRPr="00C239AE">
              <w:rPr>
                <w:color w:val="404040" w:themeColor="text1" w:themeTint="BF"/>
                <w:sz w:val="20"/>
                <w:szCs w:val="20"/>
              </w:rPr>
              <w:t/>
            </w:r>
          </w:p>
        </w:tc>
      </w:tr>
      <w:tr w:rsidR="00EF0A3D" w:rsidRPr="005D7FE8" w14:paraId="645DE9B2"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250" w:type="dxa"/>
            <w:vAlign w:val="center"/>
          </w:tcPr>
          <w:p w14:paraId="470A4A9A"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4">
              <w:r>
                <w:rPr>
                  <w:sz w:val="20"/>
                  <w:rStyle w:val="Hyperlink"/>
                </w:rPr>
                <w:t xml:space="preserve">NCT03839342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70DCDED8"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Binimetinib and Encorafenib for the Treatment of Advanced Solid Tumors With Non-V600E BRAF Mutations</w:t>
            </w:r>
            <w:r>
              <w:rPr>
                <w:color w:val="404040" w:themeColor="text1" w:themeTint="BF"/>
                <w:sz w:val="20"/>
                <w:szCs w:val="20"/>
              </w:rPr>
              <w:t xml:space="preserve"> </w:t>
            </w:r>
            <w:r w:rsidRPr="00D90DD4">
              <w:rPr>
                <w:i/>
                <w:color w:val="767171" w:themeColor="background2" w:themeShade="80"/>
                <w:sz w:val="20"/>
                <w:szCs w:val="20"/>
              </w:rPr>
              <w:t xml:space="preserve">Phase 2, Recruiting started June 7, 2019</w:t>
            </w:r>
            <w:r w:rsidRPr="00C239AE">
              <w:rPr>
                <w:color w:val="404040" w:themeColor="text1" w:themeTint="BF"/>
                <w:sz w:val="20"/>
                <w:szCs w:val="20"/>
              </w:rPr>
              <w:t/>
            </w:r>
          </w:p>
        </w:tc>
      </w:tr>
      <w:tr w:rsidR="00EF0A3D" w:rsidRPr="005D7FE8" w14:paraId="645DE9B2"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250" w:type="dxa"/>
            <w:vAlign w:val="center"/>
          </w:tcPr>
          <w:p w14:paraId="470A4A9A"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5">
              <w:r>
                <w:rPr>
                  <w:sz w:val="20"/>
                  <w:rStyle w:val="Hyperlink"/>
                </w:rPr>
                <w:t xml:space="preserve">NCT02675829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70DCDED8"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Trial of Ado-Trastuzumab Emtansine for Patients With HER2 Amplified or Mutant Cancers</w:t>
            </w:r>
            <w:r>
              <w:rPr>
                <w:color w:val="404040" w:themeColor="text1" w:themeTint="BF"/>
                <w:sz w:val="20"/>
                <w:szCs w:val="20"/>
              </w:rPr>
              <w:t xml:space="preserve"> </w:t>
            </w:r>
            <w:r w:rsidRPr="00D90DD4">
              <w:rPr>
                <w:i/>
                <w:color w:val="767171" w:themeColor="background2" w:themeShade="80"/>
                <w:sz w:val="20"/>
                <w:szCs w:val="20"/>
              </w:rPr>
              <w:t xml:space="preserve">Phase 2, Recruiting started February 2016</w:t>
            </w:r>
            <w:r w:rsidRPr="00C239AE">
              <w:rPr>
                <w:color w:val="404040" w:themeColor="text1" w:themeTint="BF"/>
                <w:sz w:val="20"/>
                <w:szCs w:val="20"/>
              </w:rPr>
              <w:t/>
            </w:r>
          </w:p>
        </w:tc>
      </w:tr>
      <w:tr w:rsidR="00EF0A3D" w:rsidRPr="005D7FE8" w14:paraId="645DE9B2"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250" w:type="dxa"/>
            <w:vAlign w:val="center"/>
          </w:tcPr>
          <w:p w14:paraId="470A4A9A" w14:textId="77777777" w:rsidR="00EF0A3D" w:rsidRPr="00375746" w:rsidRDefault="00EF0A3D"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6">
              <w:r>
                <w:rPr>
                  <w:sz w:val="20"/>
                  <w:rStyle w:val="Hyperlink"/>
                </w:rPr>
                <w:t xml:space="preserve">NCT03505710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70DCDED8" w14:textId="77777777" w:rsidR="00EF0A3D" w:rsidRPr="00375746" w:rsidRDefault="00EF0A3D"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DS-8201a in Human Epidermal Growth Factor Receptor 2 (HER2)-Expressing or -Mutated Non-Small Cell Lung Cancer</w:t>
            </w:r>
            <w:r>
              <w:rPr>
                <w:color w:val="404040" w:themeColor="text1" w:themeTint="BF"/>
                <w:sz w:val="20"/>
                <w:szCs w:val="20"/>
              </w:rPr>
              <w:t xml:space="preserve"> </w:t>
            </w:r>
            <w:r w:rsidRPr="00D90DD4">
              <w:rPr>
                <w:i/>
                <w:color w:val="767171" w:themeColor="background2" w:themeShade="80"/>
                <w:sz w:val="20"/>
                <w:szCs w:val="20"/>
              </w:rPr>
              <w:t xml:space="preserve">Phase 2, Active, not recruiting started May 21, 2018</w:t>
            </w:r>
            <w:r w:rsidRPr="00C239AE">
              <w:rPr>
                <w:color w:val="404040" w:themeColor="text1" w:themeTint="BF"/>
                <w:sz w:val="20"/>
                <w:szCs w:val="20"/>
              </w:rPr>
              <w:t/>
            </w:r>
          </w:p>
        </w:tc>
      </w:tr>
    </w:tbl>
    <w:p w14:paraId="01DB3ACB" w14:textId="77777777" w:rsidR="00EF0A3D" w:rsidRPr="004474DC" w:rsidRDefault="00EF0A3D" w:rsidP="00EF0A3D">
      <w:pPr>
        <w:spacing w:before="200"/>
        <w:rPr>
          <w:color w:val="7F7F7F" w:themeColor="text1" w:themeTint="80"/>
          <w:szCs w:val="20"/>
        </w:rPr>
      </w:pPr>
      <w:r>
        <w:rPr>
          <w:color w:val="7F7F7F" w:themeColor="text1" w:themeTint="80"/>
          <w:szCs w:val="20"/>
        </w:rPr>
        <w:t/>
      </w:r>
    </w:p>
    <w:p w14:paraId="2FA2E294" w14:textId="77777777" w:rsidR="000A0E94" w:rsidRPr="0066645F" w:rsidRDefault="000A0E94" w:rsidP="000A0E94">
      <w:pPr>
        <w:pStyle w:val="Heading2"/>
        <w:spacing w:before="120"/>
        <w:rPr>
          <w:color w:val="7F7F7F" w:themeColor="text1" w:themeTint="80"/>
          <w:szCs w:val="20"/>
        </w:rPr>
      </w:pPr>
    </w:p>
    <w:p w14:paraId="29A5D451" w14:textId="77777777" w:rsidR="00E539A2" w:rsidRPr="0066645F" w:rsidRDefault="00E539A2" w:rsidP="000A0E94">
      <w:pPr>
        <w:spacing w:before="200"/>
        <w:rPr>
          <w:color w:val="7F7F7F" w:themeColor="text1" w:themeTint="80"/>
          <w:szCs w:val="20"/>
        </w:rPr>
      </w:pPr>
    </w:p>
    <w:sectPr w:rsidR="00E539A2" w:rsidRPr="0066645F" w:rsidSect="00881AC3">
      <w:headerReference w:type="default" r:id="rId9"/>
      <w:footerReference w:type="default" r:id="rId10"/>
      <w:pgSz w:w="12240" w:h="15840"/>
      <w:pgMar w:top="720" w:right="720" w:bottom="720" w:left="720" w:header="27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CBF6FF" w14:textId="77777777" w:rsidR="007102DD" w:rsidRDefault="007102DD" w:rsidP="005E10E2">
      <w:pPr>
        <w:spacing w:after="0" w:line="240" w:lineRule="auto"/>
      </w:pPr>
      <w:r>
        <w:separator/>
      </w:r>
    </w:p>
  </w:endnote>
  <w:endnote w:type="continuationSeparator" w:id="0">
    <w:p w14:paraId="20ABE891" w14:textId="77777777" w:rsidR="007102DD" w:rsidRDefault="007102DD" w:rsidP="005E10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10 Pitch">
    <w:altName w:val="Times New Roman"/>
    <w:charset w:val="01"/>
    <w:family w:val="roman"/>
    <w:pitch w:val="variable"/>
  </w:font>
  <w:font w:name="Lohit Devanagari">
    <w:altName w:val="Times New Roman"/>
    <w:panose1 w:val="00000000000000000000"/>
    <w:charset w:val="00"/>
    <w:family w:val="roman"/>
    <w:notTrueType/>
    <w:pitch w:val="default"/>
  </w:font>
  <w:font w:name="Calibri Light (Heading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single" w:sz="6" w:space="0" w:color="7F7F7F" w:themeColor="text1" w:themeTint="80"/>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0790"/>
    </w:tblGrid>
    <w:tr w:rsidR="000F7A2B" w14:paraId="26003E4F" w14:textId="77777777" w:rsidTr="00E31E5E">
      <w:tc>
        <w:tcPr>
          <w:tcW w:w="10790" w:type="dxa"/>
        </w:tcPr>
        <w:p w14:paraId="789FD01F" w14:textId="77777777" w:rsidR="000F7A2B" w:rsidRPr="00F76C62" w:rsidRDefault="000F7A2B" w:rsidP="00E31E5E">
          <w:pPr>
            <w:pStyle w:val="Footer"/>
            <w:tabs>
              <w:tab w:val="clear" w:pos="9360"/>
              <w:tab w:val="right" w:pos="10800"/>
            </w:tabs>
            <w:spacing w:before="40"/>
            <w:rPr>
              <w:sz w:val="16"/>
            </w:rPr>
          </w:pPr>
          <w:r w:rsidRPr="00F76C62">
            <w:rPr>
              <w:color w:val="767171" w:themeColor="background2" w:themeShade="80"/>
              <w:sz w:val="16"/>
            </w:rPr>
            <w:t xml:space="preserve">Signed Electronically by </w:t>
          </w:r>
          <w:r>
            <w:rPr>
              <w:color w:val="767171" w:themeColor="background2" w:themeShade="80"/>
              <w:sz w:val="16"/>
            </w:rPr>
            <w:t>DRAFT</w:t>
          </w:r>
          <w:r w:rsidRPr="00F76C62">
            <w:rPr>
              <w:color w:val="767171" w:themeColor="background2" w:themeShade="80"/>
              <w:sz w:val="16"/>
            </w:rPr>
            <w:t xml:space="preserve"> | Medical Director: </w:t>
          </w:r>
          <w:r>
            <w:rPr>
              <w:color w:val="767171" w:themeColor="background2" w:themeShade="80"/>
              <w:sz w:val="16"/>
            </w:rPr>
            <w:t>Leonard McCoy, M.D.</w:t>
          </w:r>
          <w:r w:rsidRPr="00F76C62">
            <w:rPr>
              <w:color w:val="767171" w:themeColor="background2" w:themeShade="80"/>
              <w:sz w:val="16"/>
            </w:rPr>
            <w:t xml:space="preserve"> | CLIA Number: </w:t>
          </w:r>
          <w:r>
            <w:rPr>
              <w:color w:val="767171" w:themeColor="background2" w:themeShade="80"/>
              <w:sz w:val="16"/>
            </w:rPr>
            <w:t>1234ABCD</w:t>
          </w:r>
          <w:r w:rsidRPr="00F76C62">
            <w:rPr>
              <w:color w:val="767171" w:themeColor="background2" w:themeShade="80"/>
              <w:sz w:val="16"/>
            </w:rPr>
            <w:t xml:space="preserve"> | </w:t>
          </w:r>
          <w:r>
            <w:rPr>
              <w:color w:val="767171" w:themeColor="background2" w:themeShade="80"/>
              <w:sz w:val="16"/>
            </w:rPr>
            <w:t>(Not Signed Off)</w:t>
          </w:r>
          <w:r w:rsidRPr="00F76C62">
            <w:rPr>
              <w:color w:val="808080" w:themeColor="background1" w:themeShade="80"/>
              <w:sz w:val="16"/>
            </w:rPr>
            <w:tab/>
            <w:t xml:space="preserve">page </w:t>
          </w:r>
          <w:r w:rsidRPr="00F76C62">
            <w:rPr>
              <w:b/>
              <w:bCs/>
              <w:color w:val="808080" w:themeColor="background1" w:themeShade="80"/>
              <w:sz w:val="16"/>
            </w:rPr>
            <w:fldChar w:fldCharType="begin"/>
          </w:r>
          <w:r w:rsidRPr="00F76C62">
            <w:rPr>
              <w:b/>
              <w:bCs/>
              <w:color w:val="808080" w:themeColor="background1" w:themeShade="80"/>
              <w:sz w:val="16"/>
            </w:rPr>
            <w:instrText xml:space="preserve"> PAGE  \* Arabic  \* MERGEFORMAT </w:instrText>
          </w:r>
          <w:r w:rsidRPr="00F76C62">
            <w:rPr>
              <w:b/>
              <w:bCs/>
              <w:color w:val="808080" w:themeColor="background1" w:themeShade="80"/>
              <w:sz w:val="16"/>
            </w:rPr>
            <w:fldChar w:fldCharType="separate"/>
          </w:r>
          <w:r>
            <w:rPr>
              <w:b/>
              <w:bCs/>
              <w:color w:val="808080" w:themeColor="background1" w:themeShade="80"/>
              <w:sz w:val="16"/>
            </w:rPr>
            <w:t>1</w:t>
          </w:r>
          <w:r w:rsidRPr="00F76C62">
            <w:rPr>
              <w:b/>
              <w:bCs/>
              <w:color w:val="808080" w:themeColor="background1" w:themeShade="80"/>
              <w:sz w:val="16"/>
            </w:rPr>
            <w:fldChar w:fldCharType="end"/>
          </w:r>
          <w:r w:rsidRPr="00F76C62">
            <w:rPr>
              <w:color w:val="808080" w:themeColor="background1" w:themeShade="80"/>
              <w:sz w:val="16"/>
            </w:rPr>
            <w:t xml:space="preserve"> of </w:t>
          </w:r>
          <w:r w:rsidRPr="00F76C62">
            <w:rPr>
              <w:b/>
              <w:bCs/>
              <w:color w:val="808080" w:themeColor="background1" w:themeShade="80"/>
              <w:sz w:val="16"/>
            </w:rPr>
            <w:fldChar w:fldCharType="begin"/>
          </w:r>
          <w:r w:rsidRPr="00F76C62">
            <w:rPr>
              <w:b/>
              <w:bCs/>
              <w:color w:val="808080" w:themeColor="background1" w:themeShade="80"/>
              <w:sz w:val="16"/>
            </w:rPr>
            <w:instrText xml:space="preserve"> NUMPAGES  \* Arabic  \* MERGEFORMAT </w:instrText>
          </w:r>
          <w:r w:rsidRPr="00F76C62">
            <w:rPr>
              <w:b/>
              <w:bCs/>
              <w:color w:val="808080" w:themeColor="background1" w:themeShade="80"/>
              <w:sz w:val="16"/>
            </w:rPr>
            <w:fldChar w:fldCharType="separate"/>
          </w:r>
          <w:r>
            <w:rPr>
              <w:b/>
              <w:bCs/>
              <w:color w:val="808080" w:themeColor="background1" w:themeShade="80"/>
              <w:sz w:val="16"/>
            </w:rPr>
            <w:t>3</w:t>
          </w:r>
          <w:r w:rsidRPr="00F76C62">
            <w:rPr>
              <w:b/>
              <w:bCs/>
              <w:color w:val="808080" w:themeColor="background1" w:themeShade="80"/>
              <w:sz w:val="16"/>
            </w:rPr>
            <w:fldChar w:fldCharType="end"/>
          </w:r>
        </w:p>
      </w:tc>
    </w:tr>
  </w:tbl>
  <w:p w14:paraId="726318B7" w14:textId="77777777" w:rsidR="000F7A2B" w:rsidRPr="00F76C62" w:rsidRDefault="000F7A2B" w:rsidP="00C34E4E">
    <w:pPr>
      <w:pStyle w:val="Footer"/>
      <w:tabs>
        <w:tab w:val="clear" w:pos="9360"/>
        <w:tab w:val="right" w:pos="10800"/>
      </w:tabs>
      <w:rPr>
        <w:sz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3CCBAB" w14:textId="77777777" w:rsidR="007102DD" w:rsidRDefault="007102DD" w:rsidP="005E10E2">
      <w:pPr>
        <w:spacing w:after="0" w:line="240" w:lineRule="auto"/>
      </w:pPr>
      <w:r>
        <w:separator/>
      </w:r>
    </w:p>
  </w:footnote>
  <w:footnote w:type="continuationSeparator" w:id="0">
    <w:p w14:paraId="524F657C" w14:textId="77777777" w:rsidR="007102DD" w:rsidRDefault="007102DD" w:rsidP="005E10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710" w:type="dxa"/>
      <w:tblBorders>
        <w:top w:val="none" w:sz="0" w:space="0" w:color="auto"/>
        <w:left w:val="none" w:sz="0" w:space="0" w:color="auto"/>
        <w:bottom w:val="single" w:sz="4" w:space="0" w:color="7F7F7F" w:themeColor="text1" w:themeTint="80"/>
        <w:right w:val="none" w:sz="0" w:space="0" w:color="auto"/>
        <w:insideH w:val="none" w:sz="0" w:space="0" w:color="auto"/>
        <w:insideV w:val="none" w:sz="0" w:space="0" w:color="auto"/>
      </w:tblBorders>
      <w:tblLook w:val="04A0" w:firstRow="1" w:lastRow="0" w:firstColumn="1" w:lastColumn="0" w:noHBand="0" w:noVBand="1"/>
    </w:tblPr>
    <w:tblGrid>
      <w:gridCol w:w="3548"/>
      <w:gridCol w:w="2766"/>
      <w:gridCol w:w="1707"/>
      <w:gridCol w:w="2689"/>
    </w:tblGrid>
    <w:tr w:rsidR="005A5570" w14:paraId="3420D5ED" w14:textId="77777777" w:rsidTr="00987F6E">
      <w:trPr>
        <w:trHeight w:val="1006"/>
      </w:trPr>
      <w:tc>
        <w:tcPr>
          <w:tcW w:w="3600" w:type="dxa"/>
          <w:vAlign w:val="bottom"/>
        </w:tcPr>
        <w:p w14:paraId="43472225" w14:textId="77777777" w:rsidR="005A5570" w:rsidRPr="005E10E2" w:rsidRDefault="005A5570" w:rsidP="005A5570">
          <w:pPr>
            <w:pStyle w:val="Header"/>
            <w:tabs>
              <w:tab w:val="clear" w:pos="4680"/>
              <w:tab w:val="clear" w:pos="9360"/>
            </w:tabs>
          </w:pPr>
          <w:r w:rsidRPr="00ED0026">
            <w:rPr>
              <w:noProof/>
            </w:rPr>
            <w:drawing>
              <wp:anchor distT="0" distB="45720" distL="0" distR="0" simplePos="0" relativeHeight="251660288" behindDoc="1" locked="0" layoutInCell="1" allowOverlap="1" wp14:anchorId="5FD26B98" wp14:editId="26768681">
                <wp:simplePos x="0" y="0"/>
                <wp:positionH relativeFrom="column">
                  <wp:posOffset>-14605</wp:posOffset>
                </wp:positionH>
                <wp:positionV relativeFrom="paragraph">
                  <wp:posOffset>357505</wp:posOffset>
                </wp:positionV>
                <wp:extent cx="2051050" cy="436245"/>
                <wp:effectExtent l="0" t="0" r="6350" b="1905"/>
                <wp:wrapTight wrapText="right">
                  <wp:wrapPolygon edited="0">
                    <wp:start x="4815" y="0"/>
                    <wp:lineTo x="3210" y="1886"/>
                    <wp:lineTo x="802" y="11319"/>
                    <wp:lineTo x="802" y="15092"/>
                    <wp:lineTo x="0" y="18865"/>
                    <wp:lineTo x="0" y="20751"/>
                    <wp:lineTo x="21466" y="20751"/>
                    <wp:lineTo x="21466" y="15092"/>
                    <wp:lineTo x="19861" y="15092"/>
                    <wp:lineTo x="21266" y="6603"/>
                    <wp:lineTo x="19661" y="0"/>
                    <wp:lineTo x="5818" y="0"/>
                    <wp:lineTo x="4815" y="0"/>
                  </wp:wrapPolygon>
                </wp:wrapTight>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051050" cy="436245"/>
                        </a:xfrm>
                        <a:prstGeom prst="rect">
                          <a:avLst/>
                        </a:prstGeom>
                      </pic:spPr>
                    </pic:pic>
                  </a:graphicData>
                </a:graphic>
                <wp14:sizeRelH relativeFrom="margin">
                  <wp14:pctWidth>0</wp14:pctWidth>
                </wp14:sizeRelH>
                <wp14:sizeRelV relativeFrom="margin">
                  <wp14:pctHeight>0</wp14:pctHeight>
                </wp14:sizeRelV>
              </wp:anchor>
            </w:drawing>
          </w:r>
        </w:p>
      </w:tc>
      <w:tc>
        <w:tcPr>
          <w:tcW w:w="2070" w:type="dxa"/>
          <w:vAlign w:val="bottom"/>
        </w:tcPr>
        <w:p w14:paraId="1AF5ACC7" w14:textId="55889412" w:rsidR="005A5570" w:rsidRDefault="005A5570" w:rsidP="005A5570">
          <w:pPr>
            <w:pStyle w:val="Header"/>
            <w:tabs>
              <w:tab w:val="clear" w:pos="4680"/>
              <w:tab w:val="clear" w:pos="9360"/>
            </w:tabs>
            <w:spacing w:line="276" w:lineRule="auto"/>
          </w:pPr>
          <w:r w:rsidRPr="005E10E2">
            <w:rPr>
              <w:color w:val="595959" w:themeColor="text1" w:themeTint="A6"/>
            </w:rPr>
            <w:t>Patient Name</w:t>
          </w:r>
          <w:r w:rsidRPr="005E10E2">
            <w:rPr>
              <w:color w:val="595959" w:themeColor="text1" w:themeTint="A6"/>
            </w:rPr>
            <w:br/>
          </w:r>
          <w:r>
            <w:rPr>
              <w:b/>
            </w:rPr>
            <w:t xml:space="preserve">S1</w:t>
          </w:r>
          <w:proofErr w:type="spellStart"/>
          <w:r>
            <w:rPr>
              <w:b/>
            </w:rPr>
            <w:t/>
          </w:r>
          <w:proofErr w:type="spellEnd"/>
          <w:r>
            <w:rPr>
              <w:b/>
            </w:rPr>
            <w:t/>
          </w:r>
        </w:p>
      </w:tc>
      <w:tc>
        <w:tcPr>
          <w:tcW w:w="1890" w:type="dxa"/>
          <w:vAlign w:val="bottom"/>
        </w:tcPr>
        <w:p w14:paraId="5DF1FEC5" w14:textId="2A092AE5" w:rsidR="005A5570" w:rsidRDefault="005A5570" w:rsidP="005A5570">
          <w:pPr>
            <w:pStyle w:val="Header"/>
            <w:tabs>
              <w:tab w:val="clear" w:pos="4680"/>
              <w:tab w:val="clear" w:pos="9360"/>
            </w:tabs>
            <w:spacing w:line="276" w:lineRule="auto"/>
          </w:pPr>
          <w:r>
            <w:rPr>
              <w:color w:val="595959" w:themeColor="text1" w:themeTint="A6"/>
            </w:rPr>
            <w:t>Report Date</w:t>
          </w:r>
          <w:r w:rsidRPr="005E10E2">
            <w:rPr>
              <w:color w:val="595959" w:themeColor="text1" w:themeTint="A6"/>
            </w:rPr>
            <w:br/>
          </w:r>
          <w:r w:rsidRPr="00BE7C4B">
            <w:rPr>
              <w:b/>
            </w:rPr>
            <w:t xml:space="preserve">(DRAFT)</w:t>
          </w:r>
          <w:proofErr w:type="spellStart"/>
          <w:r w:rsidRPr="00BE7C4B">
            <w:rPr>
              <w:b/>
            </w:rPr>
            <w:t/>
          </w:r>
          <w:r>
            <w:rPr>
              <w:b/>
            </w:rPr>
            <w:t/>
          </w:r>
          <w:r w:rsidRPr="00BE7C4B">
            <w:rPr>
              <w:b/>
            </w:rPr>
            <w:t/>
          </w:r>
          <w:proofErr w:type="spellEnd"/>
          <w:r w:rsidRPr="00BE7C4B">
            <w:rPr>
              <w:b/>
            </w:rPr>
            <w:t/>
          </w:r>
        </w:p>
      </w:tc>
      <w:tc>
        <w:tcPr>
          <w:tcW w:w="3150" w:type="dxa"/>
          <w:vAlign w:val="bottom"/>
        </w:tcPr>
        <w:p w14:paraId="27C7B96A" w14:textId="14AA35E5" w:rsidR="005A5570" w:rsidRDefault="005A5570" w:rsidP="005A5570">
          <w:pPr>
            <w:pStyle w:val="Header"/>
            <w:tabs>
              <w:tab w:val="clear" w:pos="4680"/>
              <w:tab w:val="clear" w:pos="9360"/>
            </w:tabs>
            <w:spacing w:line="276" w:lineRule="auto"/>
          </w:pPr>
          <w:r w:rsidRPr="005E10E2">
            <w:rPr>
              <w:color w:val="595959" w:themeColor="text1" w:themeTint="A6"/>
            </w:rPr>
            <w:t>Tumor Type</w:t>
          </w:r>
          <w:r>
            <w:br/>
          </w:r>
          <w:r w:rsidRPr="00BE7C4B">
            <w:rPr>
              <w:b/>
            </w:rPr>
            <w:t xml:space="preserve">NSCLC</w:t>
          </w:r>
          <w:proofErr w:type="spellStart"/>
          <w:r w:rsidRPr="00BE7C4B">
            <w:rPr>
              <w:b/>
            </w:rPr>
            <w:t/>
          </w:r>
          <w:r>
            <w:rPr>
              <w:b/>
            </w:rPr>
            <w:t/>
          </w:r>
          <w:r w:rsidRPr="00BE7C4B">
            <w:rPr>
              <w:b/>
            </w:rPr>
            <w:t/>
          </w:r>
          <w:r>
            <w:rPr>
              <w:b/>
            </w:rPr>
            <w:t/>
          </w:r>
          <w:proofErr w:type="spellEnd"/>
          <w:r w:rsidRPr="00BE7C4B">
            <w:rPr>
              <w:b/>
            </w:rPr>
            <w:t/>
          </w:r>
        </w:p>
      </w:tc>
    </w:tr>
  </w:tbl>
  <w:p w14:paraId="6ABBA456" w14:textId="77777777" w:rsidR="000F7A2B" w:rsidRDefault="000F7A2B" w:rsidP="005E10E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3003502"/>
    <w:multiLevelType w:val="hybridMultilevel"/>
    <w:tmpl w:val="44525EEA"/>
    <w:lvl w:ilvl="0" w:tplc="7EE0E502">
      <w:start w:val="2014"/>
      <w:numFmt w:val="bullet"/>
      <w:lvlText w:val=""/>
      <w:lvlJc w:val="left"/>
      <w:pPr>
        <w:ind w:left="405" w:hanging="360"/>
      </w:pPr>
      <w:rPr>
        <w:rFonts w:ascii="Symbol" w:eastAsiaTheme="minorHAnsi" w:hAnsi="Symbol" w:cstheme="minorBidi" w:hint="default"/>
        <w:color w:val="262626" w:themeColor="text1" w:themeTint="D9"/>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num w:numId="1" w16cid:durableId="1581825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5E10E2"/>
    <w:rsid w:val="00004B20"/>
    <w:rsid w:val="00004C1C"/>
    <w:rsid w:val="000058CD"/>
    <w:rsid w:val="000175DC"/>
    <w:rsid w:val="00020186"/>
    <w:rsid w:val="00022C82"/>
    <w:rsid w:val="00023CAE"/>
    <w:rsid w:val="00023EF1"/>
    <w:rsid w:val="0002622F"/>
    <w:rsid w:val="0002665A"/>
    <w:rsid w:val="00026914"/>
    <w:rsid w:val="00026F51"/>
    <w:rsid w:val="000274CF"/>
    <w:rsid w:val="00027AB4"/>
    <w:rsid w:val="00031088"/>
    <w:rsid w:val="00034DF4"/>
    <w:rsid w:val="000410AA"/>
    <w:rsid w:val="000410ED"/>
    <w:rsid w:val="000429CB"/>
    <w:rsid w:val="000454BE"/>
    <w:rsid w:val="00045B2A"/>
    <w:rsid w:val="00045CE6"/>
    <w:rsid w:val="0005044D"/>
    <w:rsid w:val="000511D1"/>
    <w:rsid w:val="00051521"/>
    <w:rsid w:val="00053401"/>
    <w:rsid w:val="000538A6"/>
    <w:rsid w:val="000553AA"/>
    <w:rsid w:val="00057FB2"/>
    <w:rsid w:val="00061410"/>
    <w:rsid w:val="00063954"/>
    <w:rsid w:val="00063F1D"/>
    <w:rsid w:val="000643B0"/>
    <w:rsid w:val="000649BE"/>
    <w:rsid w:val="00066FEF"/>
    <w:rsid w:val="00072A3D"/>
    <w:rsid w:val="00074C85"/>
    <w:rsid w:val="00075727"/>
    <w:rsid w:val="000768E4"/>
    <w:rsid w:val="000772B4"/>
    <w:rsid w:val="00080238"/>
    <w:rsid w:val="00082D69"/>
    <w:rsid w:val="000950A8"/>
    <w:rsid w:val="00096088"/>
    <w:rsid w:val="000A0E94"/>
    <w:rsid w:val="000A3AFC"/>
    <w:rsid w:val="000A763F"/>
    <w:rsid w:val="000B0228"/>
    <w:rsid w:val="000B0BCE"/>
    <w:rsid w:val="000B0E8C"/>
    <w:rsid w:val="000B1168"/>
    <w:rsid w:val="000B2B85"/>
    <w:rsid w:val="000B3056"/>
    <w:rsid w:val="000B7A41"/>
    <w:rsid w:val="000C1A9A"/>
    <w:rsid w:val="000C32F7"/>
    <w:rsid w:val="000C602E"/>
    <w:rsid w:val="000C678D"/>
    <w:rsid w:val="000C6F95"/>
    <w:rsid w:val="000C79F3"/>
    <w:rsid w:val="000D04D7"/>
    <w:rsid w:val="000D0C8C"/>
    <w:rsid w:val="000D1D19"/>
    <w:rsid w:val="000D5139"/>
    <w:rsid w:val="000D7323"/>
    <w:rsid w:val="000D7CF5"/>
    <w:rsid w:val="000E0524"/>
    <w:rsid w:val="000E399D"/>
    <w:rsid w:val="000E5D34"/>
    <w:rsid w:val="000F189F"/>
    <w:rsid w:val="000F1907"/>
    <w:rsid w:val="000F1922"/>
    <w:rsid w:val="000F2A94"/>
    <w:rsid w:val="000F3AF1"/>
    <w:rsid w:val="000F4823"/>
    <w:rsid w:val="000F5727"/>
    <w:rsid w:val="000F65BD"/>
    <w:rsid w:val="000F7A2B"/>
    <w:rsid w:val="00102F18"/>
    <w:rsid w:val="00104E4B"/>
    <w:rsid w:val="001128D7"/>
    <w:rsid w:val="00114EF0"/>
    <w:rsid w:val="00115F6B"/>
    <w:rsid w:val="00117665"/>
    <w:rsid w:val="001209AB"/>
    <w:rsid w:val="001229D7"/>
    <w:rsid w:val="00131281"/>
    <w:rsid w:val="00131D1E"/>
    <w:rsid w:val="00133737"/>
    <w:rsid w:val="00133E8A"/>
    <w:rsid w:val="001341F6"/>
    <w:rsid w:val="001357C0"/>
    <w:rsid w:val="0013637C"/>
    <w:rsid w:val="00141094"/>
    <w:rsid w:val="001426AC"/>
    <w:rsid w:val="0014495D"/>
    <w:rsid w:val="00151286"/>
    <w:rsid w:val="001519CC"/>
    <w:rsid w:val="00152904"/>
    <w:rsid w:val="00152CA2"/>
    <w:rsid w:val="00154288"/>
    <w:rsid w:val="00163F4A"/>
    <w:rsid w:val="00170070"/>
    <w:rsid w:val="0017031A"/>
    <w:rsid w:val="0017205B"/>
    <w:rsid w:val="00172814"/>
    <w:rsid w:val="001730E9"/>
    <w:rsid w:val="001737D9"/>
    <w:rsid w:val="00174B29"/>
    <w:rsid w:val="00176C59"/>
    <w:rsid w:val="00177605"/>
    <w:rsid w:val="00177803"/>
    <w:rsid w:val="00180B3B"/>
    <w:rsid w:val="001818CA"/>
    <w:rsid w:val="00183821"/>
    <w:rsid w:val="00184378"/>
    <w:rsid w:val="00185F94"/>
    <w:rsid w:val="00190A94"/>
    <w:rsid w:val="00191012"/>
    <w:rsid w:val="00191207"/>
    <w:rsid w:val="00193441"/>
    <w:rsid w:val="00195062"/>
    <w:rsid w:val="0019694E"/>
    <w:rsid w:val="00197207"/>
    <w:rsid w:val="001A2FF2"/>
    <w:rsid w:val="001A4506"/>
    <w:rsid w:val="001A4A6C"/>
    <w:rsid w:val="001A4E23"/>
    <w:rsid w:val="001A651C"/>
    <w:rsid w:val="001A7BEF"/>
    <w:rsid w:val="001B7FA4"/>
    <w:rsid w:val="001C4BA0"/>
    <w:rsid w:val="001C4EEA"/>
    <w:rsid w:val="001C5817"/>
    <w:rsid w:val="001C65D1"/>
    <w:rsid w:val="001D3842"/>
    <w:rsid w:val="001D5D05"/>
    <w:rsid w:val="001D6AE1"/>
    <w:rsid w:val="001D6B1C"/>
    <w:rsid w:val="001D71AF"/>
    <w:rsid w:val="001E12AF"/>
    <w:rsid w:val="001E16F1"/>
    <w:rsid w:val="001E3384"/>
    <w:rsid w:val="001E351A"/>
    <w:rsid w:val="001E5FD0"/>
    <w:rsid w:val="001E7687"/>
    <w:rsid w:val="001F0B24"/>
    <w:rsid w:val="001F0D62"/>
    <w:rsid w:val="001F40A0"/>
    <w:rsid w:val="001F58D1"/>
    <w:rsid w:val="00202037"/>
    <w:rsid w:val="0020499F"/>
    <w:rsid w:val="002072B3"/>
    <w:rsid w:val="002073B6"/>
    <w:rsid w:val="00211730"/>
    <w:rsid w:val="00211A96"/>
    <w:rsid w:val="0021442D"/>
    <w:rsid w:val="00217D0B"/>
    <w:rsid w:val="00222DAF"/>
    <w:rsid w:val="00223C74"/>
    <w:rsid w:val="00224215"/>
    <w:rsid w:val="002314A0"/>
    <w:rsid w:val="002324B8"/>
    <w:rsid w:val="002328C3"/>
    <w:rsid w:val="002402FB"/>
    <w:rsid w:val="002407C5"/>
    <w:rsid w:val="00241838"/>
    <w:rsid w:val="002421C7"/>
    <w:rsid w:val="002426AA"/>
    <w:rsid w:val="00244056"/>
    <w:rsid w:val="00245C1D"/>
    <w:rsid w:val="00245DA4"/>
    <w:rsid w:val="00247A46"/>
    <w:rsid w:val="002503AC"/>
    <w:rsid w:val="00252700"/>
    <w:rsid w:val="002534FB"/>
    <w:rsid w:val="00255994"/>
    <w:rsid w:val="00256A7D"/>
    <w:rsid w:val="00260856"/>
    <w:rsid w:val="00261042"/>
    <w:rsid w:val="00261163"/>
    <w:rsid w:val="0026634B"/>
    <w:rsid w:val="00267DFB"/>
    <w:rsid w:val="0027249B"/>
    <w:rsid w:val="00272CA7"/>
    <w:rsid w:val="002754FD"/>
    <w:rsid w:val="00276CFD"/>
    <w:rsid w:val="00277FF3"/>
    <w:rsid w:val="00284A15"/>
    <w:rsid w:val="00286A8C"/>
    <w:rsid w:val="00287E21"/>
    <w:rsid w:val="0029035D"/>
    <w:rsid w:val="00290785"/>
    <w:rsid w:val="00291A5B"/>
    <w:rsid w:val="00293BD5"/>
    <w:rsid w:val="0029646D"/>
    <w:rsid w:val="002969A7"/>
    <w:rsid w:val="002A6011"/>
    <w:rsid w:val="002A6347"/>
    <w:rsid w:val="002A6BD9"/>
    <w:rsid w:val="002A77AF"/>
    <w:rsid w:val="002B0E73"/>
    <w:rsid w:val="002B7FCD"/>
    <w:rsid w:val="002C22CE"/>
    <w:rsid w:val="002C344D"/>
    <w:rsid w:val="002C4B42"/>
    <w:rsid w:val="002C5EEA"/>
    <w:rsid w:val="002C656E"/>
    <w:rsid w:val="002D00A3"/>
    <w:rsid w:val="002D24CF"/>
    <w:rsid w:val="002D2C25"/>
    <w:rsid w:val="002D4DF9"/>
    <w:rsid w:val="002D51EA"/>
    <w:rsid w:val="002D5346"/>
    <w:rsid w:val="002E0B50"/>
    <w:rsid w:val="002E0EB0"/>
    <w:rsid w:val="002E14D2"/>
    <w:rsid w:val="002E1866"/>
    <w:rsid w:val="002E2948"/>
    <w:rsid w:val="002E3C35"/>
    <w:rsid w:val="002E53CC"/>
    <w:rsid w:val="002E542D"/>
    <w:rsid w:val="002E5992"/>
    <w:rsid w:val="002E72DE"/>
    <w:rsid w:val="002F060C"/>
    <w:rsid w:val="002F1447"/>
    <w:rsid w:val="002F26BE"/>
    <w:rsid w:val="002F2ED5"/>
    <w:rsid w:val="002F3513"/>
    <w:rsid w:val="002F70CC"/>
    <w:rsid w:val="003033F4"/>
    <w:rsid w:val="00303CFE"/>
    <w:rsid w:val="003061E9"/>
    <w:rsid w:val="0031331B"/>
    <w:rsid w:val="00313F9A"/>
    <w:rsid w:val="00315695"/>
    <w:rsid w:val="00315C8E"/>
    <w:rsid w:val="0031768C"/>
    <w:rsid w:val="003205D0"/>
    <w:rsid w:val="003213CD"/>
    <w:rsid w:val="00324D91"/>
    <w:rsid w:val="00325C5A"/>
    <w:rsid w:val="00327AAA"/>
    <w:rsid w:val="003302E6"/>
    <w:rsid w:val="003303DE"/>
    <w:rsid w:val="00330F0F"/>
    <w:rsid w:val="00335085"/>
    <w:rsid w:val="00341DD3"/>
    <w:rsid w:val="00344F3A"/>
    <w:rsid w:val="00345C6E"/>
    <w:rsid w:val="00346979"/>
    <w:rsid w:val="00347496"/>
    <w:rsid w:val="00353FF5"/>
    <w:rsid w:val="003546EA"/>
    <w:rsid w:val="00355DD0"/>
    <w:rsid w:val="00356632"/>
    <w:rsid w:val="00356C89"/>
    <w:rsid w:val="00360D8D"/>
    <w:rsid w:val="00361646"/>
    <w:rsid w:val="00363804"/>
    <w:rsid w:val="0036418D"/>
    <w:rsid w:val="00366B00"/>
    <w:rsid w:val="00367F48"/>
    <w:rsid w:val="00374695"/>
    <w:rsid w:val="00375746"/>
    <w:rsid w:val="00377BB3"/>
    <w:rsid w:val="00380828"/>
    <w:rsid w:val="0038110E"/>
    <w:rsid w:val="003824CF"/>
    <w:rsid w:val="003836C2"/>
    <w:rsid w:val="0038443D"/>
    <w:rsid w:val="00384575"/>
    <w:rsid w:val="00385CF1"/>
    <w:rsid w:val="003863FB"/>
    <w:rsid w:val="00386E5F"/>
    <w:rsid w:val="0039020D"/>
    <w:rsid w:val="00391F82"/>
    <w:rsid w:val="00393F53"/>
    <w:rsid w:val="00394929"/>
    <w:rsid w:val="00396E39"/>
    <w:rsid w:val="00397023"/>
    <w:rsid w:val="003A0659"/>
    <w:rsid w:val="003A07AB"/>
    <w:rsid w:val="003A4536"/>
    <w:rsid w:val="003B09EE"/>
    <w:rsid w:val="003B471F"/>
    <w:rsid w:val="003B4CC9"/>
    <w:rsid w:val="003B593C"/>
    <w:rsid w:val="003B7373"/>
    <w:rsid w:val="003C0523"/>
    <w:rsid w:val="003C3A01"/>
    <w:rsid w:val="003C4110"/>
    <w:rsid w:val="003C4563"/>
    <w:rsid w:val="003C4975"/>
    <w:rsid w:val="003D1D91"/>
    <w:rsid w:val="003E16EF"/>
    <w:rsid w:val="003E39AC"/>
    <w:rsid w:val="003E4CAF"/>
    <w:rsid w:val="003F2741"/>
    <w:rsid w:val="003F3EDB"/>
    <w:rsid w:val="003F74E6"/>
    <w:rsid w:val="003F7FEF"/>
    <w:rsid w:val="0040430F"/>
    <w:rsid w:val="0040469A"/>
    <w:rsid w:val="00404986"/>
    <w:rsid w:val="00406457"/>
    <w:rsid w:val="00406B22"/>
    <w:rsid w:val="00407CE3"/>
    <w:rsid w:val="0041343F"/>
    <w:rsid w:val="00413B6B"/>
    <w:rsid w:val="00414384"/>
    <w:rsid w:val="00416FD1"/>
    <w:rsid w:val="004173D6"/>
    <w:rsid w:val="00422C8E"/>
    <w:rsid w:val="0042345D"/>
    <w:rsid w:val="00423674"/>
    <w:rsid w:val="004236E8"/>
    <w:rsid w:val="00424A6B"/>
    <w:rsid w:val="004279D3"/>
    <w:rsid w:val="00427A4C"/>
    <w:rsid w:val="00433B10"/>
    <w:rsid w:val="004341D7"/>
    <w:rsid w:val="0043467F"/>
    <w:rsid w:val="004348F6"/>
    <w:rsid w:val="004372A6"/>
    <w:rsid w:val="00440710"/>
    <w:rsid w:val="00441932"/>
    <w:rsid w:val="00441A2B"/>
    <w:rsid w:val="00445616"/>
    <w:rsid w:val="00450064"/>
    <w:rsid w:val="00451BDF"/>
    <w:rsid w:val="004521BA"/>
    <w:rsid w:val="00453925"/>
    <w:rsid w:val="0045519C"/>
    <w:rsid w:val="004564F2"/>
    <w:rsid w:val="004645C1"/>
    <w:rsid w:val="00467598"/>
    <w:rsid w:val="0046789D"/>
    <w:rsid w:val="00467DA1"/>
    <w:rsid w:val="00470FDC"/>
    <w:rsid w:val="00471E32"/>
    <w:rsid w:val="00472FF4"/>
    <w:rsid w:val="00473BD6"/>
    <w:rsid w:val="00474D05"/>
    <w:rsid w:val="00477CE0"/>
    <w:rsid w:val="00477F85"/>
    <w:rsid w:val="00480585"/>
    <w:rsid w:val="00484214"/>
    <w:rsid w:val="004856FF"/>
    <w:rsid w:val="00492F4A"/>
    <w:rsid w:val="00494C10"/>
    <w:rsid w:val="00496263"/>
    <w:rsid w:val="00497A85"/>
    <w:rsid w:val="004A0136"/>
    <w:rsid w:val="004B05DE"/>
    <w:rsid w:val="004C1253"/>
    <w:rsid w:val="004C17D9"/>
    <w:rsid w:val="004C25B9"/>
    <w:rsid w:val="004C2B74"/>
    <w:rsid w:val="004C4098"/>
    <w:rsid w:val="004C4F2F"/>
    <w:rsid w:val="004C79CF"/>
    <w:rsid w:val="004D1572"/>
    <w:rsid w:val="004D1D8D"/>
    <w:rsid w:val="004D3672"/>
    <w:rsid w:val="004D3D11"/>
    <w:rsid w:val="004D4178"/>
    <w:rsid w:val="004D65A7"/>
    <w:rsid w:val="004E14E2"/>
    <w:rsid w:val="004E18A0"/>
    <w:rsid w:val="004E1AA3"/>
    <w:rsid w:val="004E2603"/>
    <w:rsid w:val="004F209A"/>
    <w:rsid w:val="004F44CC"/>
    <w:rsid w:val="004F5B84"/>
    <w:rsid w:val="005002CE"/>
    <w:rsid w:val="00503CF4"/>
    <w:rsid w:val="005044F3"/>
    <w:rsid w:val="005053FC"/>
    <w:rsid w:val="00507076"/>
    <w:rsid w:val="00511DAC"/>
    <w:rsid w:val="00512425"/>
    <w:rsid w:val="00513018"/>
    <w:rsid w:val="0051469C"/>
    <w:rsid w:val="00514E02"/>
    <w:rsid w:val="00514F8B"/>
    <w:rsid w:val="0051635A"/>
    <w:rsid w:val="00516ED5"/>
    <w:rsid w:val="005206A8"/>
    <w:rsid w:val="005214F3"/>
    <w:rsid w:val="005217FE"/>
    <w:rsid w:val="00521E14"/>
    <w:rsid w:val="005250F5"/>
    <w:rsid w:val="005301AB"/>
    <w:rsid w:val="00530776"/>
    <w:rsid w:val="00530FA7"/>
    <w:rsid w:val="00531402"/>
    <w:rsid w:val="00534004"/>
    <w:rsid w:val="00535F5F"/>
    <w:rsid w:val="00541695"/>
    <w:rsid w:val="0054193E"/>
    <w:rsid w:val="00542EED"/>
    <w:rsid w:val="00543615"/>
    <w:rsid w:val="00546900"/>
    <w:rsid w:val="0055310C"/>
    <w:rsid w:val="005554C6"/>
    <w:rsid w:val="00556161"/>
    <w:rsid w:val="00561915"/>
    <w:rsid w:val="00562F23"/>
    <w:rsid w:val="005636CB"/>
    <w:rsid w:val="005642B2"/>
    <w:rsid w:val="005651DB"/>
    <w:rsid w:val="0056552A"/>
    <w:rsid w:val="00565655"/>
    <w:rsid w:val="00566B36"/>
    <w:rsid w:val="005675C7"/>
    <w:rsid w:val="00567A7A"/>
    <w:rsid w:val="00572741"/>
    <w:rsid w:val="00574216"/>
    <w:rsid w:val="005748A4"/>
    <w:rsid w:val="00574BEB"/>
    <w:rsid w:val="005762C7"/>
    <w:rsid w:val="005771F0"/>
    <w:rsid w:val="005775CC"/>
    <w:rsid w:val="00580DF3"/>
    <w:rsid w:val="00581470"/>
    <w:rsid w:val="00582BD7"/>
    <w:rsid w:val="00584849"/>
    <w:rsid w:val="00586EF0"/>
    <w:rsid w:val="0059000E"/>
    <w:rsid w:val="00590122"/>
    <w:rsid w:val="00590FED"/>
    <w:rsid w:val="0059116A"/>
    <w:rsid w:val="005919E2"/>
    <w:rsid w:val="0059311D"/>
    <w:rsid w:val="00593A5F"/>
    <w:rsid w:val="00594EDB"/>
    <w:rsid w:val="00597835"/>
    <w:rsid w:val="005A0FA8"/>
    <w:rsid w:val="005A2537"/>
    <w:rsid w:val="005A5570"/>
    <w:rsid w:val="005A5BEE"/>
    <w:rsid w:val="005A642A"/>
    <w:rsid w:val="005B0DB5"/>
    <w:rsid w:val="005B46B6"/>
    <w:rsid w:val="005B7EE5"/>
    <w:rsid w:val="005C562F"/>
    <w:rsid w:val="005C6E5A"/>
    <w:rsid w:val="005C709B"/>
    <w:rsid w:val="005C72B5"/>
    <w:rsid w:val="005D12A5"/>
    <w:rsid w:val="005D3694"/>
    <w:rsid w:val="005D524D"/>
    <w:rsid w:val="005D572C"/>
    <w:rsid w:val="005D5C5C"/>
    <w:rsid w:val="005D7FE8"/>
    <w:rsid w:val="005E10E2"/>
    <w:rsid w:val="005E1A8D"/>
    <w:rsid w:val="005E1D45"/>
    <w:rsid w:val="005F538A"/>
    <w:rsid w:val="005F6267"/>
    <w:rsid w:val="005F747F"/>
    <w:rsid w:val="005F7EBB"/>
    <w:rsid w:val="006011E3"/>
    <w:rsid w:val="006075C2"/>
    <w:rsid w:val="00607D2F"/>
    <w:rsid w:val="00611FD3"/>
    <w:rsid w:val="00615F6F"/>
    <w:rsid w:val="00621147"/>
    <w:rsid w:val="0062147C"/>
    <w:rsid w:val="00622910"/>
    <w:rsid w:val="00625BF9"/>
    <w:rsid w:val="00626364"/>
    <w:rsid w:val="00627290"/>
    <w:rsid w:val="00627582"/>
    <w:rsid w:val="00630A62"/>
    <w:rsid w:val="0063144D"/>
    <w:rsid w:val="0063192E"/>
    <w:rsid w:val="00635960"/>
    <w:rsid w:val="00636A98"/>
    <w:rsid w:val="006412B1"/>
    <w:rsid w:val="006455E9"/>
    <w:rsid w:val="0064700C"/>
    <w:rsid w:val="006478F9"/>
    <w:rsid w:val="006556CC"/>
    <w:rsid w:val="00660DED"/>
    <w:rsid w:val="0066350F"/>
    <w:rsid w:val="00664163"/>
    <w:rsid w:val="00665ADC"/>
    <w:rsid w:val="00665B29"/>
    <w:rsid w:val="00665CE6"/>
    <w:rsid w:val="0066645F"/>
    <w:rsid w:val="00670254"/>
    <w:rsid w:val="00671F9F"/>
    <w:rsid w:val="00674222"/>
    <w:rsid w:val="00675D90"/>
    <w:rsid w:val="00676AF6"/>
    <w:rsid w:val="00677AA6"/>
    <w:rsid w:val="006803C9"/>
    <w:rsid w:val="006807A1"/>
    <w:rsid w:val="00682082"/>
    <w:rsid w:val="00684FCB"/>
    <w:rsid w:val="00687F65"/>
    <w:rsid w:val="006912F8"/>
    <w:rsid w:val="00693E32"/>
    <w:rsid w:val="006A2B16"/>
    <w:rsid w:val="006A4661"/>
    <w:rsid w:val="006B0186"/>
    <w:rsid w:val="006B09EA"/>
    <w:rsid w:val="006B146F"/>
    <w:rsid w:val="006B4E37"/>
    <w:rsid w:val="006B59AF"/>
    <w:rsid w:val="006B5DA4"/>
    <w:rsid w:val="006C581E"/>
    <w:rsid w:val="006C5B38"/>
    <w:rsid w:val="006C69E2"/>
    <w:rsid w:val="006D09C2"/>
    <w:rsid w:val="006D0A33"/>
    <w:rsid w:val="006D132B"/>
    <w:rsid w:val="006D18B7"/>
    <w:rsid w:val="006D3DBF"/>
    <w:rsid w:val="006D3F97"/>
    <w:rsid w:val="006E0B99"/>
    <w:rsid w:val="006E1EDA"/>
    <w:rsid w:val="006E20D8"/>
    <w:rsid w:val="006E5D28"/>
    <w:rsid w:val="006E76A7"/>
    <w:rsid w:val="006E7EC2"/>
    <w:rsid w:val="006F5258"/>
    <w:rsid w:val="006F69A3"/>
    <w:rsid w:val="00701B06"/>
    <w:rsid w:val="00702152"/>
    <w:rsid w:val="0070246F"/>
    <w:rsid w:val="00703AE5"/>
    <w:rsid w:val="00703D4B"/>
    <w:rsid w:val="00703E28"/>
    <w:rsid w:val="00706D14"/>
    <w:rsid w:val="007102DD"/>
    <w:rsid w:val="007108F6"/>
    <w:rsid w:val="00711449"/>
    <w:rsid w:val="00713C5B"/>
    <w:rsid w:val="00713D8B"/>
    <w:rsid w:val="00716A79"/>
    <w:rsid w:val="00716D06"/>
    <w:rsid w:val="00716D0E"/>
    <w:rsid w:val="00721703"/>
    <w:rsid w:val="00721E53"/>
    <w:rsid w:val="00724573"/>
    <w:rsid w:val="007246C7"/>
    <w:rsid w:val="007250C0"/>
    <w:rsid w:val="00725748"/>
    <w:rsid w:val="00725A82"/>
    <w:rsid w:val="007328D0"/>
    <w:rsid w:val="007328EF"/>
    <w:rsid w:val="00732D37"/>
    <w:rsid w:val="00740EAA"/>
    <w:rsid w:val="007440F8"/>
    <w:rsid w:val="007454A7"/>
    <w:rsid w:val="00745C6E"/>
    <w:rsid w:val="00746075"/>
    <w:rsid w:val="007507BD"/>
    <w:rsid w:val="00750D4C"/>
    <w:rsid w:val="00754859"/>
    <w:rsid w:val="0075576E"/>
    <w:rsid w:val="00755B21"/>
    <w:rsid w:val="00755E7E"/>
    <w:rsid w:val="00760A30"/>
    <w:rsid w:val="00761A06"/>
    <w:rsid w:val="0076250F"/>
    <w:rsid w:val="007629A8"/>
    <w:rsid w:val="00762FF8"/>
    <w:rsid w:val="007649EF"/>
    <w:rsid w:val="00766119"/>
    <w:rsid w:val="007662B9"/>
    <w:rsid w:val="007667F0"/>
    <w:rsid w:val="00766B2E"/>
    <w:rsid w:val="00766E4F"/>
    <w:rsid w:val="0077028A"/>
    <w:rsid w:val="00770DD2"/>
    <w:rsid w:val="007727B5"/>
    <w:rsid w:val="00773551"/>
    <w:rsid w:val="00773565"/>
    <w:rsid w:val="007738AF"/>
    <w:rsid w:val="00775336"/>
    <w:rsid w:val="00775528"/>
    <w:rsid w:val="00775884"/>
    <w:rsid w:val="00776763"/>
    <w:rsid w:val="0077690D"/>
    <w:rsid w:val="00785D7D"/>
    <w:rsid w:val="00791269"/>
    <w:rsid w:val="00791F3E"/>
    <w:rsid w:val="00792118"/>
    <w:rsid w:val="007949D1"/>
    <w:rsid w:val="007965E4"/>
    <w:rsid w:val="00796673"/>
    <w:rsid w:val="007A59F9"/>
    <w:rsid w:val="007A6DF4"/>
    <w:rsid w:val="007B06EA"/>
    <w:rsid w:val="007B21E5"/>
    <w:rsid w:val="007B565E"/>
    <w:rsid w:val="007B5980"/>
    <w:rsid w:val="007C03E2"/>
    <w:rsid w:val="007C0E9F"/>
    <w:rsid w:val="007C13BA"/>
    <w:rsid w:val="007C13FA"/>
    <w:rsid w:val="007C4A5A"/>
    <w:rsid w:val="007C4D2F"/>
    <w:rsid w:val="007C76FF"/>
    <w:rsid w:val="007C7D90"/>
    <w:rsid w:val="007D0337"/>
    <w:rsid w:val="007D0415"/>
    <w:rsid w:val="007D2FC3"/>
    <w:rsid w:val="007D68D0"/>
    <w:rsid w:val="007D7C54"/>
    <w:rsid w:val="007E017D"/>
    <w:rsid w:val="007E025C"/>
    <w:rsid w:val="007E2058"/>
    <w:rsid w:val="007E4FDC"/>
    <w:rsid w:val="007E500E"/>
    <w:rsid w:val="007E59C0"/>
    <w:rsid w:val="007E6DA6"/>
    <w:rsid w:val="007E7AB3"/>
    <w:rsid w:val="007F1E51"/>
    <w:rsid w:val="007F2307"/>
    <w:rsid w:val="007F2632"/>
    <w:rsid w:val="007F303D"/>
    <w:rsid w:val="007F4D25"/>
    <w:rsid w:val="007F4DB8"/>
    <w:rsid w:val="007F740A"/>
    <w:rsid w:val="0080137A"/>
    <w:rsid w:val="008022AD"/>
    <w:rsid w:val="00802F70"/>
    <w:rsid w:val="008032A8"/>
    <w:rsid w:val="00806D19"/>
    <w:rsid w:val="008077E0"/>
    <w:rsid w:val="00813AA2"/>
    <w:rsid w:val="0081406E"/>
    <w:rsid w:val="0082121C"/>
    <w:rsid w:val="00825845"/>
    <w:rsid w:val="008274DD"/>
    <w:rsid w:val="008302B5"/>
    <w:rsid w:val="00830DD5"/>
    <w:rsid w:val="008312BB"/>
    <w:rsid w:val="00831A7F"/>
    <w:rsid w:val="00833FFD"/>
    <w:rsid w:val="0083643A"/>
    <w:rsid w:val="008403B5"/>
    <w:rsid w:val="008440EE"/>
    <w:rsid w:val="008448AF"/>
    <w:rsid w:val="00844E72"/>
    <w:rsid w:val="0085229C"/>
    <w:rsid w:val="008525FA"/>
    <w:rsid w:val="00853B9B"/>
    <w:rsid w:val="0085409E"/>
    <w:rsid w:val="00855BDD"/>
    <w:rsid w:val="00856A77"/>
    <w:rsid w:val="00857190"/>
    <w:rsid w:val="00861B32"/>
    <w:rsid w:val="008636B9"/>
    <w:rsid w:val="00865339"/>
    <w:rsid w:val="00870B31"/>
    <w:rsid w:val="00874FD9"/>
    <w:rsid w:val="00877F5D"/>
    <w:rsid w:val="00880ECB"/>
    <w:rsid w:val="008811BD"/>
    <w:rsid w:val="0088194C"/>
    <w:rsid w:val="00881AC3"/>
    <w:rsid w:val="00882CB9"/>
    <w:rsid w:val="008831A8"/>
    <w:rsid w:val="0088516F"/>
    <w:rsid w:val="008854F1"/>
    <w:rsid w:val="008869B1"/>
    <w:rsid w:val="00892F3C"/>
    <w:rsid w:val="00893979"/>
    <w:rsid w:val="00896234"/>
    <w:rsid w:val="00897B24"/>
    <w:rsid w:val="008A07B7"/>
    <w:rsid w:val="008A3EE5"/>
    <w:rsid w:val="008A4872"/>
    <w:rsid w:val="008A64E7"/>
    <w:rsid w:val="008B115A"/>
    <w:rsid w:val="008B4C6C"/>
    <w:rsid w:val="008C006D"/>
    <w:rsid w:val="008C1822"/>
    <w:rsid w:val="008C31E5"/>
    <w:rsid w:val="008C4289"/>
    <w:rsid w:val="008C5723"/>
    <w:rsid w:val="008C5E41"/>
    <w:rsid w:val="008C63DA"/>
    <w:rsid w:val="008D16AB"/>
    <w:rsid w:val="008D31A2"/>
    <w:rsid w:val="008D5F35"/>
    <w:rsid w:val="008D605B"/>
    <w:rsid w:val="008D7D79"/>
    <w:rsid w:val="008E2867"/>
    <w:rsid w:val="008E521A"/>
    <w:rsid w:val="008E7852"/>
    <w:rsid w:val="008F044D"/>
    <w:rsid w:val="008F0A1B"/>
    <w:rsid w:val="008F4954"/>
    <w:rsid w:val="008F54EB"/>
    <w:rsid w:val="008F5EF3"/>
    <w:rsid w:val="008F7B83"/>
    <w:rsid w:val="009009EF"/>
    <w:rsid w:val="009011BC"/>
    <w:rsid w:val="00901D57"/>
    <w:rsid w:val="00902F57"/>
    <w:rsid w:val="009032B7"/>
    <w:rsid w:val="00903EEC"/>
    <w:rsid w:val="00914C43"/>
    <w:rsid w:val="009212F4"/>
    <w:rsid w:val="009220F5"/>
    <w:rsid w:val="00922DF2"/>
    <w:rsid w:val="00925535"/>
    <w:rsid w:val="00932F1D"/>
    <w:rsid w:val="00934EE6"/>
    <w:rsid w:val="00937EF6"/>
    <w:rsid w:val="009406D4"/>
    <w:rsid w:val="00941237"/>
    <w:rsid w:val="0094243A"/>
    <w:rsid w:val="00946AEA"/>
    <w:rsid w:val="00950C2B"/>
    <w:rsid w:val="0095201A"/>
    <w:rsid w:val="00952107"/>
    <w:rsid w:val="0095299F"/>
    <w:rsid w:val="00953948"/>
    <w:rsid w:val="00957167"/>
    <w:rsid w:val="009579D1"/>
    <w:rsid w:val="00957C0D"/>
    <w:rsid w:val="00960C04"/>
    <w:rsid w:val="009615BC"/>
    <w:rsid w:val="00962B40"/>
    <w:rsid w:val="009650D4"/>
    <w:rsid w:val="00965933"/>
    <w:rsid w:val="00972A85"/>
    <w:rsid w:val="00973E4E"/>
    <w:rsid w:val="009747DB"/>
    <w:rsid w:val="00975DC2"/>
    <w:rsid w:val="00976582"/>
    <w:rsid w:val="009815AB"/>
    <w:rsid w:val="00981CD2"/>
    <w:rsid w:val="009844DF"/>
    <w:rsid w:val="009855B6"/>
    <w:rsid w:val="00987F6E"/>
    <w:rsid w:val="009903AD"/>
    <w:rsid w:val="00991229"/>
    <w:rsid w:val="00991469"/>
    <w:rsid w:val="009926D7"/>
    <w:rsid w:val="00992C40"/>
    <w:rsid w:val="00993FA0"/>
    <w:rsid w:val="0099442F"/>
    <w:rsid w:val="009949FB"/>
    <w:rsid w:val="009A23D2"/>
    <w:rsid w:val="009A258D"/>
    <w:rsid w:val="009B1D48"/>
    <w:rsid w:val="009B35A6"/>
    <w:rsid w:val="009B5A3C"/>
    <w:rsid w:val="009B7112"/>
    <w:rsid w:val="009C0D25"/>
    <w:rsid w:val="009C12E8"/>
    <w:rsid w:val="009C2009"/>
    <w:rsid w:val="009C2C3A"/>
    <w:rsid w:val="009C3F9A"/>
    <w:rsid w:val="009C400B"/>
    <w:rsid w:val="009C7A2E"/>
    <w:rsid w:val="009C7FF2"/>
    <w:rsid w:val="009D0C29"/>
    <w:rsid w:val="009D2BBC"/>
    <w:rsid w:val="009D40E5"/>
    <w:rsid w:val="009E286E"/>
    <w:rsid w:val="009E4C0E"/>
    <w:rsid w:val="009E6AB3"/>
    <w:rsid w:val="009E7A5C"/>
    <w:rsid w:val="009F0842"/>
    <w:rsid w:val="009F1060"/>
    <w:rsid w:val="009F2094"/>
    <w:rsid w:val="009F242D"/>
    <w:rsid w:val="00A017F9"/>
    <w:rsid w:val="00A024CE"/>
    <w:rsid w:val="00A04D59"/>
    <w:rsid w:val="00A0526D"/>
    <w:rsid w:val="00A05501"/>
    <w:rsid w:val="00A067C7"/>
    <w:rsid w:val="00A12884"/>
    <w:rsid w:val="00A14761"/>
    <w:rsid w:val="00A14883"/>
    <w:rsid w:val="00A15020"/>
    <w:rsid w:val="00A15D9E"/>
    <w:rsid w:val="00A16042"/>
    <w:rsid w:val="00A20E5C"/>
    <w:rsid w:val="00A2125A"/>
    <w:rsid w:val="00A222EF"/>
    <w:rsid w:val="00A22E23"/>
    <w:rsid w:val="00A240EC"/>
    <w:rsid w:val="00A24FFD"/>
    <w:rsid w:val="00A27014"/>
    <w:rsid w:val="00A318F7"/>
    <w:rsid w:val="00A323B1"/>
    <w:rsid w:val="00A33818"/>
    <w:rsid w:val="00A346C3"/>
    <w:rsid w:val="00A36092"/>
    <w:rsid w:val="00A36AE2"/>
    <w:rsid w:val="00A36D3A"/>
    <w:rsid w:val="00A40451"/>
    <w:rsid w:val="00A41B9C"/>
    <w:rsid w:val="00A42A63"/>
    <w:rsid w:val="00A43826"/>
    <w:rsid w:val="00A47DF7"/>
    <w:rsid w:val="00A51967"/>
    <w:rsid w:val="00A520CB"/>
    <w:rsid w:val="00A52D9E"/>
    <w:rsid w:val="00A54188"/>
    <w:rsid w:val="00A6072A"/>
    <w:rsid w:val="00A60995"/>
    <w:rsid w:val="00A60EC5"/>
    <w:rsid w:val="00A62997"/>
    <w:rsid w:val="00A6457D"/>
    <w:rsid w:val="00A70523"/>
    <w:rsid w:val="00A70EF0"/>
    <w:rsid w:val="00A71274"/>
    <w:rsid w:val="00A7296D"/>
    <w:rsid w:val="00A72ABB"/>
    <w:rsid w:val="00A73983"/>
    <w:rsid w:val="00A765A6"/>
    <w:rsid w:val="00A802C0"/>
    <w:rsid w:val="00A820FA"/>
    <w:rsid w:val="00A82CEF"/>
    <w:rsid w:val="00A87EB5"/>
    <w:rsid w:val="00A90721"/>
    <w:rsid w:val="00A91752"/>
    <w:rsid w:val="00A93DF0"/>
    <w:rsid w:val="00A94D12"/>
    <w:rsid w:val="00A9523A"/>
    <w:rsid w:val="00A9602B"/>
    <w:rsid w:val="00A9615A"/>
    <w:rsid w:val="00A961AF"/>
    <w:rsid w:val="00A96668"/>
    <w:rsid w:val="00A972C8"/>
    <w:rsid w:val="00AA076F"/>
    <w:rsid w:val="00AA3DF6"/>
    <w:rsid w:val="00AB10E8"/>
    <w:rsid w:val="00AB4BAF"/>
    <w:rsid w:val="00AB5179"/>
    <w:rsid w:val="00AB7B9B"/>
    <w:rsid w:val="00AC0C14"/>
    <w:rsid w:val="00AC18B1"/>
    <w:rsid w:val="00AC6F23"/>
    <w:rsid w:val="00AD2900"/>
    <w:rsid w:val="00AD2BA9"/>
    <w:rsid w:val="00AD4CE3"/>
    <w:rsid w:val="00AD4F60"/>
    <w:rsid w:val="00AD55CF"/>
    <w:rsid w:val="00AE1EAC"/>
    <w:rsid w:val="00AE3401"/>
    <w:rsid w:val="00AE6307"/>
    <w:rsid w:val="00AE7FDD"/>
    <w:rsid w:val="00AF0082"/>
    <w:rsid w:val="00AF2A22"/>
    <w:rsid w:val="00AF3128"/>
    <w:rsid w:val="00AF7FC5"/>
    <w:rsid w:val="00B01185"/>
    <w:rsid w:val="00B03192"/>
    <w:rsid w:val="00B0372B"/>
    <w:rsid w:val="00B038F6"/>
    <w:rsid w:val="00B04E63"/>
    <w:rsid w:val="00B0654E"/>
    <w:rsid w:val="00B06F93"/>
    <w:rsid w:val="00B07B43"/>
    <w:rsid w:val="00B1067A"/>
    <w:rsid w:val="00B12956"/>
    <w:rsid w:val="00B12D4C"/>
    <w:rsid w:val="00B1444B"/>
    <w:rsid w:val="00B15E67"/>
    <w:rsid w:val="00B17FFA"/>
    <w:rsid w:val="00B2028B"/>
    <w:rsid w:val="00B210A7"/>
    <w:rsid w:val="00B22288"/>
    <w:rsid w:val="00B257C0"/>
    <w:rsid w:val="00B30510"/>
    <w:rsid w:val="00B31B8C"/>
    <w:rsid w:val="00B31EE7"/>
    <w:rsid w:val="00B323B7"/>
    <w:rsid w:val="00B3299E"/>
    <w:rsid w:val="00B347AC"/>
    <w:rsid w:val="00B362D6"/>
    <w:rsid w:val="00B37BE9"/>
    <w:rsid w:val="00B40869"/>
    <w:rsid w:val="00B40C30"/>
    <w:rsid w:val="00B41BE9"/>
    <w:rsid w:val="00B44DA4"/>
    <w:rsid w:val="00B4628A"/>
    <w:rsid w:val="00B46D88"/>
    <w:rsid w:val="00B470EC"/>
    <w:rsid w:val="00B47E9C"/>
    <w:rsid w:val="00B53928"/>
    <w:rsid w:val="00B605A0"/>
    <w:rsid w:val="00B62658"/>
    <w:rsid w:val="00B63C30"/>
    <w:rsid w:val="00B6487B"/>
    <w:rsid w:val="00B659CC"/>
    <w:rsid w:val="00B70918"/>
    <w:rsid w:val="00B724BA"/>
    <w:rsid w:val="00B744F7"/>
    <w:rsid w:val="00B801D5"/>
    <w:rsid w:val="00B82497"/>
    <w:rsid w:val="00B8721C"/>
    <w:rsid w:val="00B87506"/>
    <w:rsid w:val="00B87785"/>
    <w:rsid w:val="00B9013D"/>
    <w:rsid w:val="00B94300"/>
    <w:rsid w:val="00B957DF"/>
    <w:rsid w:val="00B95D29"/>
    <w:rsid w:val="00B95FA7"/>
    <w:rsid w:val="00B9643F"/>
    <w:rsid w:val="00B9657F"/>
    <w:rsid w:val="00B96EE5"/>
    <w:rsid w:val="00BA0884"/>
    <w:rsid w:val="00BA0BCC"/>
    <w:rsid w:val="00BA22CA"/>
    <w:rsid w:val="00BA40B6"/>
    <w:rsid w:val="00BA6FEA"/>
    <w:rsid w:val="00BB26F2"/>
    <w:rsid w:val="00BB4748"/>
    <w:rsid w:val="00BB49BE"/>
    <w:rsid w:val="00BB62DB"/>
    <w:rsid w:val="00BC1473"/>
    <w:rsid w:val="00BC3343"/>
    <w:rsid w:val="00BC3B80"/>
    <w:rsid w:val="00BC5A8B"/>
    <w:rsid w:val="00BC697A"/>
    <w:rsid w:val="00BC7E63"/>
    <w:rsid w:val="00BD1BA9"/>
    <w:rsid w:val="00BD34DA"/>
    <w:rsid w:val="00BD4735"/>
    <w:rsid w:val="00BD729A"/>
    <w:rsid w:val="00BE4159"/>
    <w:rsid w:val="00BE4A8B"/>
    <w:rsid w:val="00BE68CB"/>
    <w:rsid w:val="00BE6CB0"/>
    <w:rsid w:val="00BE6D4C"/>
    <w:rsid w:val="00BE7C4B"/>
    <w:rsid w:val="00BE7E03"/>
    <w:rsid w:val="00BF121D"/>
    <w:rsid w:val="00BF13C3"/>
    <w:rsid w:val="00BF13D1"/>
    <w:rsid w:val="00BF1A9E"/>
    <w:rsid w:val="00BF2AB2"/>
    <w:rsid w:val="00BF5721"/>
    <w:rsid w:val="00C007AA"/>
    <w:rsid w:val="00C010E1"/>
    <w:rsid w:val="00C04B27"/>
    <w:rsid w:val="00C12DDB"/>
    <w:rsid w:val="00C14A43"/>
    <w:rsid w:val="00C16795"/>
    <w:rsid w:val="00C17BD8"/>
    <w:rsid w:val="00C22D32"/>
    <w:rsid w:val="00C239AE"/>
    <w:rsid w:val="00C321EB"/>
    <w:rsid w:val="00C32B91"/>
    <w:rsid w:val="00C34E4E"/>
    <w:rsid w:val="00C35069"/>
    <w:rsid w:val="00C36A4D"/>
    <w:rsid w:val="00C41F49"/>
    <w:rsid w:val="00C4234D"/>
    <w:rsid w:val="00C42B4B"/>
    <w:rsid w:val="00C4397D"/>
    <w:rsid w:val="00C45F57"/>
    <w:rsid w:val="00C464D5"/>
    <w:rsid w:val="00C53512"/>
    <w:rsid w:val="00C54F92"/>
    <w:rsid w:val="00C5599A"/>
    <w:rsid w:val="00C61147"/>
    <w:rsid w:val="00C63D7E"/>
    <w:rsid w:val="00C64730"/>
    <w:rsid w:val="00C659B0"/>
    <w:rsid w:val="00C707C9"/>
    <w:rsid w:val="00C729A4"/>
    <w:rsid w:val="00C75FE3"/>
    <w:rsid w:val="00C81C31"/>
    <w:rsid w:val="00C83E5F"/>
    <w:rsid w:val="00C926FA"/>
    <w:rsid w:val="00C92B88"/>
    <w:rsid w:val="00C93A5E"/>
    <w:rsid w:val="00C96139"/>
    <w:rsid w:val="00C967E0"/>
    <w:rsid w:val="00CA08CF"/>
    <w:rsid w:val="00CA3651"/>
    <w:rsid w:val="00CA4974"/>
    <w:rsid w:val="00CA4EC0"/>
    <w:rsid w:val="00CA4F3C"/>
    <w:rsid w:val="00CA562F"/>
    <w:rsid w:val="00CA6DAC"/>
    <w:rsid w:val="00CB1216"/>
    <w:rsid w:val="00CB1EA5"/>
    <w:rsid w:val="00CB2C6A"/>
    <w:rsid w:val="00CB370D"/>
    <w:rsid w:val="00CB3B05"/>
    <w:rsid w:val="00CB3F5D"/>
    <w:rsid w:val="00CB44F5"/>
    <w:rsid w:val="00CB45AF"/>
    <w:rsid w:val="00CB47C1"/>
    <w:rsid w:val="00CB4AF7"/>
    <w:rsid w:val="00CB4F59"/>
    <w:rsid w:val="00CB5088"/>
    <w:rsid w:val="00CB56F8"/>
    <w:rsid w:val="00CB7694"/>
    <w:rsid w:val="00CC19B0"/>
    <w:rsid w:val="00CC2A32"/>
    <w:rsid w:val="00CC305D"/>
    <w:rsid w:val="00CC5344"/>
    <w:rsid w:val="00CD35DE"/>
    <w:rsid w:val="00CD3969"/>
    <w:rsid w:val="00CD39FE"/>
    <w:rsid w:val="00CD592F"/>
    <w:rsid w:val="00CE029F"/>
    <w:rsid w:val="00CF14A2"/>
    <w:rsid w:val="00CF2424"/>
    <w:rsid w:val="00CF6497"/>
    <w:rsid w:val="00D10022"/>
    <w:rsid w:val="00D101F0"/>
    <w:rsid w:val="00D1191F"/>
    <w:rsid w:val="00D1453A"/>
    <w:rsid w:val="00D145A6"/>
    <w:rsid w:val="00D149C1"/>
    <w:rsid w:val="00D150D7"/>
    <w:rsid w:val="00D17F3A"/>
    <w:rsid w:val="00D21C0E"/>
    <w:rsid w:val="00D21F1F"/>
    <w:rsid w:val="00D226F9"/>
    <w:rsid w:val="00D238B8"/>
    <w:rsid w:val="00D2503F"/>
    <w:rsid w:val="00D253A6"/>
    <w:rsid w:val="00D25E39"/>
    <w:rsid w:val="00D30FD3"/>
    <w:rsid w:val="00D31161"/>
    <w:rsid w:val="00D311C1"/>
    <w:rsid w:val="00D332B9"/>
    <w:rsid w:val="00D3503D"/>
    <w:rsid w:val="00D35874"/>
    <w:rsid w:val="00D35E60"/>
    <w:rsid w:val="00D41DE6"/>
    <w:rsid w:val="00D517AA"/>
    <w:rsid w:val="00D5356A"/>
    <w:rsid w:val="00D539AE"/>
    <w:rsid w:val="00D53EA3"/>
    <w:rsid w:val="00D5477F"/>
    <w:rsid w:val="00D6042C"/>
    <w:rsid w:val="00D6123A"/>
    <w:rsid w:val="00D631C8"/>
    <w:rsid w:val="00D63EEA"/>
    <w:rsid w:val="00D665E5"/>
    <w:rsid w:val="00D70476"/>
    <w:rsid w:val="00D71DBA"/>
    <w:rsid w:val="00D7205E"/>
    <w:rsid w:val="00D757B4"/>
    <w:rsid w:val="00D75B91"/>
    <w:rsid w:val="00D760F8"/>
    <w:rsid w:val="00D77D0A"/>
    <w:rsid w:val="00D8220A"/>
    <w:rsid w:val="00D82D91"/>
    <w:rsid w:val="00D83854"/>
    <w:rsid w:val="00D855D7"/>
    <w:rsid w:val="00D86300"/>
    <w:rsid w:val="00D90DC6"/>
    <w:rsid w:val="00D90DD4"/>
    <w:rsid w:val="00D92909"/>
    <w:rsid w:val="00D92B82"/>
    <w:rsid w:val="00D931EC"/>
    <w:rsid w:val="00D94CAF"/>
    <w:rsid w:val="00D95F3A"/>
    <w:rsid w:val="00D964F1"/>
    <w:rsid w:val="00DA0B3C"/>
    <w:rsid w:val="00DA1D14"/>
    <w:rsid w:val="00DA1E98"/>
    <w:rsid w:val="00DA3114"/>
    <w:rsid w:val="00DA3583"/>
    <w:rsid w:val="00DA4550"/>
    <w:rsid w:val="00DA45F3"/>
    <w:rsid w:val="00DA5798"/>
    <w:rsid w:val="00DA5FEF"/>
    <w:rsid w:val="00DA657B"/>
    <w:rsid w:val="00DA7847"/>
    <w:rsid w:val="00DB0A55"/>
    <w:rsid w:val="00DB0DE8"/>
    <w:rsid w:val="00DB1561"/>
    <w:rsid w:val="00DB30F5"/>
    <w:rsid w:val="00DB461B"/>
    <w:rsid w:val="00DB7AB8"/>
    <w:rsid w:val="00DB7D19"/>
    <w:rsid w:val="00DC1283"/>
    <w:rsid w:val="00DC220C"/>
    <w:rsid w:val="00DD084E"/>
    <w:rsid w:val="00DD2930"/>
    <w:rsid w:val="00DD39FF"/>
    <w:rsid w:val="00DD3A6D"/>
    <w:rsid w:val="00DD5640"/>
    <w:rsid w:val="00DD76A3"/>
    <w:rsid w:val="00DE0228"/>
    <w:rsid w:val="00DE3716"/>
    <w:rsid w:val="00DF0489"/>
    <w:rsid w:val="00DF2157"/>
    <w:rsid w:val="00DF3475"/>
    <w:rsid w:val="00DF5807"/>
    <w:rsid w:val="00E00DC2"/>
    <w:rsid w:val="00E01BF0"/>
    <w:rsid w:val="00E02DF7"/>
    <w:rsid w:val="00E11B25"/>
    <w:rsid w:val="00E16D9B"/>
    <w:rsid w:val="00E25069"/>
    <w:rsid w:val="00E268FC"/>
    <w:rsid w:val="00E31914"/>
    <w:rsid w:val="00E31E5E"/>
    <w:rsid w:val="00E32961"/>
    <w:rsid w:val="00E334A6"/>
    <w:rsid w:val="00E35512"/>
    <w:rsid w:val="00E35BDF"/>
    <w:rsid w:val="00E35CCA"/>
    <w:rsid w:val="00E37931"/>
    <w:rsid w:val="00E417B8"/>
    <w:rsid w:val="00E41A74"/>
    <w:rsid w:val="00E42866"/>
    <w:rsid w:val="00E4412B"/>
    <w:rsid w:val="00E44D91"/>
    <w:rsid w:val="00E45B12"/>
    <w:rsid w:val="00E467D2"/>
    <w:rsid w:val="00E5145F"/>
    <w:rsid w:val="00E539A2"/>
    <w:rsid w:val="00E60CCD"/>
    <w:rsid w:val="00E621AB"/>
    <w:rsid w:val="00E62C16"/>
    <w:rsid w:val="00E655B8"/>
    <w:rsid w:val="00E661C5"/>
    <w:rsid w:val="00E66C26"/>
    <w:rsid w:val="00E714EC"/>
    <w:rsid w:val="00E72F05"/>
    <w:rsid w:val="00E730CC"/>
    <w:rsid w:val="00E777B3"/>
    <w:rsid w:val="00E77F67"/>
    <w:rsid w:val="00E80363"/>
    <w:rsid w:val="00E80C29"/>
    <w:rsid w:val="00E83511"/>
    <w:rsid w:val="00E8749F"/>
    <w:rsid w:val="00E8766A"/>
    <w:rsid w:val="00E876E2"/>
    <w:rsid w:val="00E9117E"/>
    <w:rsid w:val="00E95DF0"/>
    <w:rsid w:val="00E969F7"/>
    <w:rsid w:val="00EA1631"/>
    <w:rsid w:val="00EA2560"/>
    <w:rsid w:val="00EA51A1"/>
    <w:rsid w:val="00EA680B"/>
    <w:rsid w:val="00EA6C56"/>
    <w:rsid w:val="00EA74EA"/>
    <w:rsid w:val="00EB0721"/>
    <w:rsid w:val="00EB1BAF"/>
    <w:rsid w:val="00EB1F13"/>
    <w:rsid w:val="00EB403A"/>
    <w:rsid w:val="00EB4A28"/>
    <w:rsid w:val="00EB6B81"/>
    <w:rsid w:val="00EB78C7"/>
    <w:rsid w:val="00EC1DC3"/>
    <w:rsid w:val="00EC4093"/>
    <w:rsid w:val="00EC493B"/>
    <w:rsid w:val="00EC5AC8"/>
    <w:rsid w:val="00EC6BD3"/>
    <w:rsid w:val="00ED0026"/>
    <w:rsid w:val="00ED08F8"/>
    <w:rsid w:val="00ED4AD7"/>
    <w:rsid w:val="00ED4B09"/>
    <w:rsid w:val="00EE1D64"/>
    <w:rsid w:val="00EE4196"/>
    <w:rsid w:val="00EE41C2"/>
    <w:rsid w:val="00EE4E27"/>
    <w:rsid w:val="00EF0A3D"/>
    <w:rsid w:val="00EF5C16"/>
    <w:rsid w:val="00EF6E2C"/>
    <w:rsid w:val="00EF7110"/>
    <w:rsid w:val="00EF740A"/>
    <w:rsid w:val="00EF7DE6"/>
    <w:rsid w:val="00F014AA"/>
    <w:rsid w:val="00F01ECD"/>
    <w:rsid w:val="00F02039"/>
    <w:rsid w:val="00F0225E"/>
    <w:rsid w:val="00F022FA"/>
    <w:rsid w:val="00F06BEC"/>
    <w:rsid w:val="00F0737F"/>
    <w:rsid w:val="00F10E5C"/>
    <w:rsid w:val="00F10FBB"/>
    <w:rsid w:val="00F1138F"/>
    <w:rsid w:val="00F12815"/>
    <w:rsid w:val="00F1320B"/>
    <w:rsid w:val="00F14EDF"/>
    <w:rsid w:val="00F207C7"/>
    <w:rsid w:val="00F2100A"/>
    <w:rsid w:val="00F21A6D"/>
    <w:rsid w:val="00F23EB1"/>
    <w:rsid w:val="00F23FCB"/>
    <w:rsid w:val="00F25858"/>
    <w:rsid w:val="00F26C50"/>
    <w:rsid w:val="00F30C57"/>
    <w:rsid w:val="00F30D89"/>
    <w:rsid w:val="00F32259"/>
    <w:rsid w:val="00F33E40"/>
    <w:rsid w:val="00F45E09"/>
    <w:rsid w:val="00F524FA"/>
    <w:rsid w:val="00F56D62"/>
    <w:rsid w:val="00F63666"/>
    <w:rsid w:val="00F6683D"/>
    <w:rsid w:val="00F6757F"/>
    <w:rsid w:val="00F67FF5"/>
    <w:rsid w:val="00F70519"/>
    <w:rsid w:val="00F7152E"/>
    <w:rsid w:val="00F72B1B"/>
    <w:rsid w:val="00F738DD"/>
    <w:rsid w:val="00F75588"/>
    <w:rsid w:val="00F757B0"/>
    <w:rsid w:val="00F76C62"/>
    <w:rsid w:val="00F77066"/>
    <w:rsid w:val="00F8348A"/>
    <w:rsid w:val="00F83F90"/>
    <w:rsid w:val="00F8478C"/>
    <w:rsid w:val="00F86F6D"/>
    <w:rsid w:val="00F97618"/>
    <w:rsid w:val="00FA026E"/>
    <w:rsid w:val="00FA221C"/>
    <w:rsid w:val="00FA254F"/>
    <w:rsid w:val="00FB276C"/>
    <w:rsid w:val="00FB4EB3"/>
    <w:rsid w:val="00FB5B54"/>
    <w:rsid w:val="00FC26A1"/>
    <w:rsid w:val="00FC338E"/>
    <w:rsid w:val="00FC4B1E"/>
    <w:rsid w:val="00FC6340"/>
    <w:rsid w:val="00FC64D5"/>
    <w:rsid w:val="00FC6AE0"/>
    <w:rsid w:val="00FD0F14"/>
    <w:rsid w:val="00FD1290"/>
    <w:rsid w:val="00FD1F41"/>
    <w:rsid w:val="00FD3E99"/>
    <w:rsid w:val="00FE2AAB"/>
    <w:rsid w:val="00FE6331"/>
    <w:rsid w:val="00FE6372"/>
    <w:rsid w:val="00FF1402"/>
    <w:rsid w:val="00FF1D4B"/>
    <w:rsid w:val="00FF3D3E"/>
    <w:rsid w:val="00FF53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D174D2"/>
  <w15:docId w15:val="{2C68EF07-4983-4B26-9405-1C0C7116CB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D1D91"/>
  </w:style>
  <w:style w:type="paragraph" w:styleId="Heading1">
    <w:name w:val="heading 1"/>
    <w:basedOn w:val="Normal"/>
    <w:next w:val="Normal"/>
    <w:link w:val="Heading1Char"/>
    <w:uiPriority w:val="9"/>
    <w:qFormat/>
    <w:rsid w:val="00F10FB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10FB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BD56A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BD56A5"/>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BA0BCC"/>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10E2"/>
    <w:pPr>
      <w:tabs>
        <w:tab w:val="center" w:pos="4680"/>
        <w:tab w:val="right" w:pos="9360"/>
      </w:tabs>
      <w:spacing w:after="0" w:line="240" w:lineRule="auto"/>
    </w:pPr>
  </w:style>
  <w:style w:type="character" w:customStyle="1" w:styleId="HeaderChar">
    <w:name w:val="Header Char"/>
    <w:basedOn w:val="DefaultParagraphFont"/>
    <w:link w:val="Header"/>
    <w:uiPriority w:val="99"/>
    <w:rsid w:val="005E10E2"/>
  </w:style>
  <w:style w:type="paragraph" w:styleId="Footer">
    <w:name w:val="footer"/>
    <w:basedOn w:val="Normal"/>
    <w:link w:val="FooterChar"/>
    <w:uiPriority w:val="99"/>
    <w:unhideWhenUsed/>
    <w:rsid w:val="005E10E2"/>
    <w:pPr>
      <w:tabs>
        <w:tab w:val="center" w:pos="4680"/>
        <w:tab w:val="right" w:pos="9360"/>
      </w:tabs>
      <w:spacing w:after="0" w:line="240" w:lineRule="auto"/>
    </w:pPr>
  </w:style>
  <w:style w:type="character" w:customStyle="1" w:styleId="FooterChar">
    <w:name w:val="Footer Char"/>
    <w:basedOn w:val="DefaultParagraphFont"/>
    <w:link w:val="Footer"/>
    <w:uiPriority w:val="99"/>
    <w:rsid w:val="005E10E2"/>
  </w:style>
  <w:style w:type="table" w:styleId="TableGrid">
    <w:name w:val="Table Grid"/>
    <w:basedOn w:val="TableNormal"/>
    <w:uiPriority w:val="39"/>
    <w:rsid w:val="005E10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F10FBB"/>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F10FBB"/>
    <w:rPr>
      <w:rFonts w:asciiTheme="majorHAnsi" w:eastAsiaTheme="majorEastAsia" w:hAnsiTheme="majorHAnsi" w:cstheme="majorBidi"/>
      <w:color w:val="2F5496" w:themeColor="accent1" w:themeShade="BF"/>
      <w:sz w:val="26"/>
      <w:szCs w:val="26"/>
    </w:rPr>
  </w:style>
  <w:style w:type="table" w:styleId="GridTable1Light-Accent1">
    <w:name w:val="Grid Table 1 Light Accent 1"/>
    <w:basedOn w:val="TableNormal"/>
    <w:uiPriority w:val="46"/>
    <w:rsid w:val="00D7205E"/>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ListTable6Colorful-Accent3">
    <w:name w:val="List Table 6 Colorful Accent 3"/>
    <w:basedOn w:val="TableNormal"/>
    <w:uiPriority w:val="51"/>
    <w:rsid w:val="00675D90"/>
    <w:pPr>
      <w:spacing w:after="0" w:line="240" w:lineRule="auto"/>
    </w:pPr>
    <w:rPr>
      <w:color w:val="7B7B7B" w:themeColor="accent3" w:themeShade="BF"/>
    </w:rPr>
    <w:tblPr>
      <w:tblStyleRowBandSize w:val="1"/>
    </w:tblPr>
    <w:tblStylePr w:type="firstRow">
      <w:rPr>
        <w:b/>
        <w:bCs/>
      </w:rPr>
      <w:tblPr/>
      <w:tcPr>
        <w:tcBorders>
          <w:bottom w:val="single" w:sz="4" w:space="0" w:color="A5A5A5" w:themeColor="accent3"/>
        </w:tcBorders>
      </w:tcPr>
    </w:tblStylePr>
    <w:tblStylePr w:type="lastRow">
      <w:rPr>
        <w:b/>
        <w:bCs/>
      </w:rPr>
      <w:tblPr/>
      <w:tcPr>
        <w:shd w:val="clear" w:color="auto" w:fill="D5DCE4" w:themeFill="text2" w:themeFillTint="33"/>
      </w:tcPr>
    </w:tblStylePr>
    <w:tblStylePr w:type="firstCol">
      <w:rPr>
        <w:b/>
        <w:bCs/>
      </w:rPr>
    </w:tblStylePr>
    <w:tblStylePr w:type="lastCol">
      <w:rPr>
        <w:b/>
        <w:bCs/>
      </w:rPr>
    </w:tblStylePr>
    <w:tblStylePr w:type="band1Horz">
      <w:tblPr/>
      <w:tcPr>
        <w:shd w:val="clear" w:color="auto" w:fill="EDEDED" w:themeFill="accent3" w:themeFillTint="33"/>
      </w:tcPr>
    </w:tblStylePr>
  </w:style>
  <w:style w:type="character" w:styleId="Hyperlink">
    <w:name w:val="Hyperlink"/>
    <w:basedOn w:val="DefaultParagraphFont"/>
    <w:uiPriority w:val="99"/>
    <w:unhideWhenUsed/>
    <w:rsid w:val="00BC7E63"/>
    <w:rPr>
      <w:color w:val="0000FF"/>
      <w:u w:val="single"/>
    </w:rPr>
  </w:style>
  <w:style w:type="character" w:styleId="UnresolvedMention">
    <w:name w:val="Unresolved Mention"/>
    <w:basedOn w:val="DefaultParagraphFont"/>
    <w:uiPriority w:val="99"/>
    <w:semiHidden/>
    <w:unhideWhenUsed/>
    <w:rsid w:val="00CB56F8"/>
    <w:rPr>
      <w:color w:val="605E5C"/>
      <w:shd w:val="clear" w:color="auto" w:fill="E1DFDD"/>
    </w:rPr>
  </w:style>
  <w:style w:type="paragraph" w:styleId="ListParagraph">
    <w:name w:val="List Paragraph"/>
    <w:basedOn w:val="Normal"/>
    <w:uiPriority w:val="34"/>
    <w:qFormat/>
    <w:rsid w:val="00755B21"/>
    <w:pPr>
      <w:ind w:left="720"/>
      <w:contextualSpacing/>
    </w:pPr>
  </w:style>
  <w:style w:type="character" w:styleId="Strong">
    <w:name w:val="Strong"/>
    <w:basedOn w:val="DefaultParagraphFont"/>
    <w:uiPriority w:val="22"/>
    <w:qFormat/>
    <w:rsid w:val="00991229"/>
    <w:rPr>
      <w:b/>
      <w:bCs/>
    </w:rPr>
  </w:style>
  <w:style w:type="character" w:customStyle="1" w:styleId="Heading5Char">
    <w:name w:val="Heading 5 Char"/>
    <w:basedOn w:val="DefaultParagraphFont"/>
    <w:link w:val="Heading5"/>
    <w:uiPriority w:val="9"/>
    <w:semiHidden/>
    <w:rsid w:val="00BA0BCC"/>
    <w:rPr>
      <w:rFonts w:asciiTheme="majorHAnsi" w:eastAsiaTheme="majorEastAsia" w:hAnsiTheme="majorHAnsi" w:cstheme="majorBidi"/>
      <w:color w:val="2F5496" w:themeColor="accent1" w:themeShade="BF"/>
    </w:rPr>
  </w:style>
  <w:style w:type="character" w:customStyle="1" w:styleId="el-tooltip">
    <w:name w:val="el-tooltip"/>
    <w:basedOn w:val="DefaultParagraphFont"/>
    <w:rsid w:val="005F538A"/>
  </w:style>
  <w:style w:type="table" w:styleId="ListTable7Colorful-Accent1">
    <w:name w:val="List Table 7 Colorful Accent 1"/>
    <w:basedOn w:val="TableNormal"/>
    <w:uiPriority w:val="52"/>
    <w:rsid w:val="008D605B"/>
    <w:pPr>
      <w:spacing w:after="0" w:line="240" w:lineRule="auto"/>
    </w:pPr>
    <w:rPr>
      <w:color w:val="2F5496"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472C4"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472C4"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472C4"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472C4" w:themeColor="accent1"/>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FollowedHyperlink">
    <w:name w:val="FollowedHyperlink"/>
    <w:basedOn w:val="DefaultParagraphFont"/>
    <w:uiPriority w:val="99"/>
    <w:semiHidden/>
    <w:unhideWhenUsed/>
    <w:rsid w:val="00020186"/>
    <w:rPr>
      <w:color w:val="954F72" w:themeColor="followedHyperlink"/>
      <w:u w:val="single"/>
    </w:rPr>
  </w:style>
  <w:style w:type="paragraph" w:styleId="Caption">
    <w:name w:val="caption"/>
    <w:basedOn w:val="Normal"/>
    <w:next w:val="Normal"/>
    <w:uiPriority w:val="35"/>
    <w:unhideWhenUsed/>
    <w:qFormat/>
    <w:rsid w:val="006912F8"/>
    <w:pPr>
      <w:spacing w:after="200" w:line="240" w:lineRule="auto"/>
    </w:pPr>
    <w:rPr>
      <w:i/>
      <w:iCs/>
      <w:color w:val="44546A" w:themeColor="text2"/>
      <w:sz w:val="18"/>
      <w:szCs w:val="18"/>
    </w:rPr>
  </w:style>
  <w:style w:type="paragraph" w:styleId="BalloonText">
    <w:name w:val="Balloon Text"/>
    <w:basedOn w:val="Normal"/>
    <w:link w:val="BalloonTextChar"/>
    <w:uiPriority w:val="99"/>
    <w:semiHidden/>
    <w:unhideWhenUsed/>
    <w:rsid w:val="00AB7B9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B7B9B"/>
    <w:rPr>
      <w:rFonts w:ascii="Segoe UI" w:hAnsi="Segoe UI" w:cs="Segoe UI"/>
      <w:sz w:val="18"/>
      <w:szCs w:val="18"/>
    </w:rPr>
  </w:style>
  <w:style w:type="paragraph" w:styleId="Quote">
    <w:name w:val="Quote"/>
    <w:basedOn w:val="Normal"/>
    <w:next w:val="Normal"/>
    <w:link w:val="QuoteChar"/>
    <w:uiPriority w:val="29"/>
    <w:qFormat/>
    <w:rsid w:val="00117C2C"/>
    <w:pPr>
      <w:spacing w:before="200"/>
      <w:ind w:left="864" w:right="864"/>
      <w:jc w:val="center"/>
    </w:pPr>
    <w:rPr>
      <w:i/>
      <w:iCs/>
      <w:color w:val="404040" w:themeColor="text1" w:themeTint="BF"/>
    </w:rPr>
  </w:style>
  <w:style w:type="character" w:customStyle="1" w:styleId="QuoteChar">
    <w:name w:val="Quote Char"/>
    <w:link w:val="Quote"/>
    <w:uiPriority w:val="29"/>
    <w:rsid w:val="00117C2C"/>
    <w:rPr>
      <w:i/>
      <w:iCs/>
      <w:color w:val="404040" w:themeColor="text1" w:themeTint="BF"/>
    </w:rPr>
  </w:style>
  <w:style w:type="paragraph" w:customStyle="1" w:styleId="code">
    <w:name w:val="code"/>
    <w:basedOn w:val="Normal"/>
    <w:qFormat/>
    <w:rPr>
      <w:rFonts w:ascii="Courier 10 Pitch" w:hAnsi="Courier 10 Pitch"/>
      <w:highlight w:val="lightGray"/>
    </w:rPr>
  </w:style>
  <w:style w:type="character" w:styleId="SubtleEmphasis">
    <w:name w:val="Subtle Emphasis"/>
    <w:uiPriority w:val="19"/>
    <w:qFormat/>
    <w:rsid w:val="00F33E4D"/>
    <w:rPr>
      <w:i/>
      <w:iCs/>
      <w:color w:val="404040" w:themeColor="text1" w:themeTint="BF"/>
    </w:rPr>
  </w:style>
  <w:style w:type="paragraph" w:customStyle="1" w:styleId="Heading">
    <w:name w:val="Heading"/>
    <w:basedOn w:val="Normal"/>
    <w:next w:val="Normal"/>
    <w:link w:val="HeadingCar"/>
    <w:uiPriority w:val="10"/>
    <w:qFormat/>
    <w:rsid w:val="00984053"/>
    <w:pPr>
      <w:spacing w:after="0" w:line="240" w:lineRule="auto"/>
      <w:contextualSpacing/>
    </w:pPr>
    <w:rPr>
      <w:rFonts w:asciiTheme="majorHAnsi" w:eastAsiaTheme="majorEastAsia" w:hAnsiTheme="majorHAnsi" w:cstheme="majorBidi"/>
      <w:spacing w:val="-10"/>
      <w:kern w:val="28"/>
      <w:sz w:val="56"/>
      <w:szCs w:val="56"/>
    </w:rPr>
  </w:style>
  <w:style w:type="paragraph" w:customStyle="1" w:styleId="Index">
    <w:name w:val="Index"/>
    <w:basedOn w:val="Normal"/>
    <w:qFormat/>
    <w:pPr>
      <w:suppressLineNumbers/>
    </w:pPr>
    <w:rPr>
      <w:rFonts w:cs="Lohit Devanagari"/>
    </w:rPr>
  </w:style>
  <w:style w:type="paragraph" w:styleId="List">
    <w:name w:val="List"/>
    <w:basedOn w:val="BodyText"/>
    <w:rPr>
      <w:rFonts w:cs="Lohit Devanagari"/>
    </w:rPr>
  </w:style>
  <w:style w:type="character" w:customStyle="1" w:styleId="NumberingSymbols">
    <w:name w:val="Numbering Symbols"/>
    <w:qFormat/>
  </w:style>
  <w:style w:type="paragraph" w:styleId="BodyText">
    <w:name w:val="Body Text"/>
    <w:basedOn w:val="Normal"/>
    <w:pPr>
      <w:spacing w:after="140" w:line="288" w:lineRule="auto"/>
    </w:pPr>
  </w:style>
  <w:style w:type="paragraph" w:styleId="Title">
    <w:name w:val="Title"/>
    <w:basedOn w:val="Heading"/>
    <w:next w:val="BodyText"/>
    <w:qFormat/>
    <w:pPr>
      <w:jc w:val="center"/>
    </w:pPr>
    <w:rPr>
      <w:b/>
      <w:bCs/>
    </w:rPr>
  </w:style>
  <w:style w:type="character" w:customStyle="1" w:styleId="Heading1Car">
    <w:name w:val="Heading 1 Car"/>
    <w:uiPriority w:val="9"/>
    <w:rsid w:val="00F33E4D"/>
    <w:rPr>
      <w:rFonts w:asciiTheme="majorHAnsi" w:eastAsiaTheme="majorEastAsia" w:hAnsiTheme="majorHAnsi" w:cstheme="majorBidi"/>
      <w:color w:val="2F5496" w:themeColor="accent1" w:themeShade="BF"/>
      <w:sz w:val="32"/>
      <w:szCs w:val="32"/>
    </w:rPr>
  </w:style>
  <w:style w:type="character" w:customStyle="1" w:styleId="Heading2Car">
    <w:name w:val="Heading 2 Car"/>
    <w:uiPriority w:val="9"/>
    <w:rsid w:val="00117C2C"/>
    <w:rPr>
      <w:rFonts w:asciiTheme="majorHAnsi" w:eastAsiaTheme="majorEastAsia" w:hAnsiTheme="majorHAnsi" w:cstheme="majorBidi"/>
      <w:color w:val="2F5496" w:themeColor="accent1" w:themeShade="BF"/>
      <w:sz w:val="26"/>
      <w:szCs w:val="26"/>
    </w:rPr>
  </w:style>
  <w:style w:type="character" w:customStyle="1" w:styleId="Heading3Char">
    <w:name w:val="Heading 3 Char"/>
    <w:link w:val="Heading3"/>
    <w:uiPriority w:val="9"/>
    <w:rsid w:val="00BD56A5"/>
    <w:rPr>
      <w:rFonts w:asciiTheme="majorHAnsi" w:eastAsiaTheme="majorEastAsia" w:hAnsiTheme="majorHAnsi" w:cstheme="majorBidi"/>
      <w:color w:val="1F3763" w:themeColor="accent1" w:themeShade="7F"/>
      <w:sz w:val="24"/>
      <w:szCs w:val="24"/>
    </w:rPr>
  </w:style>
  <w:style w:type="character" w:customStyle="1" w:styleId="Heading4Char">
    <w:name w:val="Heading 4 Char"/>
    <w:link w:val="Heading4"/>
    <w:uiPriority w:val="9"/>
    <w:rsid w:val="00BD56A5"/>
    <w:rPr>
      <w:rFonts w:asciiTheme="majorHAnsi" w:eastAsiaTheme="majorEastAsia" w:hAnsiTheme="majorHAnsi" w:cstheme="majorBidi"/>
      <w:i/>
      <w:iCs/>
      <w:color w:val="2F5496" w:themeColor="accent1" w:themeShade="BF"/>
      <w:sz w:val="24"/>
      <w:szCs w:val="24"/>
    </w:rPr>
  </w:style>
  <w:style w:type="character" w:customStyle="1" w:styleId="Heading5Car">
    <w:name w:val="Heading 5 Car"/>
    <w:uiPriority w:val="9"/>
    <w:rsid w:val="00BD56A5"/>
    <w:rPr>
      <w:rFonts w:asciiTheme="majorHAnsi" w:eastAsiaTheme="majorEastAsia" w:hAnsiTheme="majorHAnsi" w:cstheme="majorBidi"/>
      <w:color w:val="2F5496" w:themeColor="accent1" w:themeShade="BF"/>
    </w:rPr>
  </w:style>
  <w:style w:type="character" w:customStyle="1" w:styleId="HeadingCar">
    <w:name w:val="Heading Car"/>
    <w:link w:val="Heading"/>
    <w:uiPriority w:val="10"/>
    <w:rsid w:val="00984053"/>
    <w:rPr>
      <w:rFonts w:asciiTheme="majorHAnsi" w:eastAsiaTheme="majorEastAsia" w:hAnsiTheme="majorHAnsi" w:cstheme="majorBidi"/>
      <w:spacing w:val="-10"/>
      <w:kern w:val="28"/>
      <w:sz w:val="56"/>
      <w:szCs w:val="56"/>
    </w:rPr>
  </w:style>
  <w:style xmlns:w="http://schemas.openxmlformats.org/wordprocessingml/2006/main" w:type="character" w:customStyle="1" w:styleId="CitationCar">
    <w:name w:val="Citation Car"/>
    <w:basedOn w:val="Policepardfaut"/>
    <w:link w:val="Citation"/>
    <w:uiPriority w:val="29"/>
    <w:rsid w:val="00117C2C"/>
    <w:rPr>
      <w:i/>
      <w:iCs/>
      <w:color w:val="404040" w:themeColor="text1" w:themeTint="BF"/>
    </w:rPr>
  </w:style>
  <w:style xmlns:w="http://schemas.openxmlformats.org/wordprocessingml/2006/main" w:type="character" w:customStyle="1" w:styleId="Heading3Car">
    <w:name w:val="Heading 3 Car"/>
    <w:basedOn w:val="Policepardfaut"/>
    <w:link w:val="Heading3"/>
    <w:uiPriority w:val="9"/>
    <w:rsid w:val="00BD56A5"/>
    <w:rPr>
      <w:rFonts w:asciiTheme="majorHAnsi" w:eastAsiaTheme="majorEastAsia" w:hAnsiTheme="majorHAnsi" w:cstheme="majorBidi"/>
      <w:color w:val="1F4D78" w:themeColor="accent1" w:themeShade="7F"/>
      <w:sz w:val="24"/>
      <w:szCs w:val="24"/>
    </w:rPr>
  </w:style>
  <w:style xmlns:w="http://schemas.openxmlformats.org/wordprocessingml/2006/main" w:type="character" w:customStyle="1" w:styleId="Heading4Car">
    <w:name w:val="Heading 4 Car"/>
    <w:basedOn w:val="Policepardfaut"/>
    <w:link w:val="Heading4"/>
    <w:uiPriority w:val="9"/>
    <w:rsid w:val="00BD56A5"/>
    <w:rPr>
      <w:rFonts w:asciiTheme="majorHAnsi" w:eastAsiaTheme="majorEastAsia" w:hAnsiTheme="majorHAnsi" w:cstheme="majorBidi"/>
      <w:i/>
      <w:iCs/>
      <w:color w:val="365F91" w:themeColor="accent1" w:themeShade="B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933749">
      <w:bodyDiv w:val="1"/>
      <w:marLeft w:val="0"/>
      <w:marRight w:val="0"/>
      <w:marTop w:val="0"/>
      <w:marBottom w:val="0"/>
      <w:divBdr>
        <w:top w:val="none" w:sz="0" w:space="0" w:color="auto"/>
        <w:left w:val="none" w:sz="0" w:space="0" w:color="auto"/>
        <w:bottom w:val="none" w:sz="0" w:space="0" w:color="auto"/>
        <w:right w:val="none" w:sz="0" w:space="0" w:color="auto"/>
      </w:divBdr>
    </w:div>
    <w:div w:id="242112054">
      <w:bodyDiv w:val="1"/>
      <w:marLeft w:val="0"/>
      <w:marRight w:val="0"/>
      <w:marTop w:val="0"/>
      <w:marBottom w:val="0"/>
      <w:divBdr>
        <w:top w:val="none" w:sz="0" w:space="0" w:color="auto"/>
        <w:left w:val="none" w:sz="0" w:space="0" w:color="auto"/>
        <w:bottom w:val="none" w:sz="0" w:space="0" w:color="auto"/>
        <w:right w:val="none" w:sz="0" w:space="0" w:color="auto"/>
      </w:divBdr>
    </w:div>
    <w:div w:id="287132636">
      <w:bodyDiv w:val="1"/>
      <w:marLeft w:val="0"/>
      <w:marRight w:val="0"/>
      <w:marTop w:val="0"/>
      <w:marBottom w:val="0"/>
      <w:divBdr>
        <w:top w:val="none" w:sz="0" w:space="0" w:color="auto"/>
        <w:left w:val="none" w:sz="0" w:space="0" w:color="auto"/>
        <w:bottom w:val="none" w:sz="0" w:space="0" w:color="auto"/>
        <w:right w:val="none" w:sz="0" w:space="0" w:color="auto"/>
      </w:divBdr>
      <w:divsChild>
        <w:div w:id="1847012242">
          <w:marLeft w:val="0"/>
          <w:marRight w:val="0"/>
          <w:marTop w:val="0"/>
          <w:marBottom w:val="0"/>
          <w:divBdr>
            <w:top w:val="none" w:sz="0" w:space="0" w:color="auto"/>
            <w:left w:val="none" w:sz="0" w:space="0" w:color="auto"/>
            <w:bottom w:val="none" w:sz="0" w:space="0" w:color="auto"/>
            <w:right w:val="none" w:sz="0" w:space="0" w:color="auto"/>
          </w:divBdr>
          <w:divsChild>
            <w:div w:id="779951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1706112">
      <w:bodyDiv w:val="1"/>
      <w:marLeft w:val="0"/>
      <w:marRight w:val="0"/>
      <w:marTop w:val="0"/>
      <w:marBottom w:val="0"/>
      <w:divBdr>
        <w:top w:val="none" w:sz="0" w:space="0" w:color="auto"/>
        <w:left w:val="none" w:sz="0" w:space="0" w:color="auto"/>
        <w:bottom w:val="none" w:sz="0" w:space="0" w:color="auto"/>
        <w:right w:val="none" w:sz="0" w:space="0" w:color="auto"/>
      </w:divBdr>
      <w:divsChild>
        <w:div w:id="64649354">
          <w:marLeft w:val="0"/>
          <w:marRight w:val="0"/>
          <w:marTop w:val="0"/>
          <w:marBottom w:val="45"/>
          <w:divBdr>
            <w:top w:val="none" w:sz="0" w:space="0" w:color="auto"/>
            <w:left w:val="none" w:sz="0" w:space="0" w:color="auto"/>
            <w:bottom w:val="none" w:sz="0" w:space="0" w:color="auto"/>
            <w:right w:val="none" w:sz="0" w:space="0" w:color="auto"/>
          </w:divBdr>
        </w:div>
        <w:div w:id="958754106">
          <w:marLeft w:val="0"/>
          <w:marRight w:val="0"/>
          <w:marTop w:val="0"/>
          <w:marBottom w:val="45"/>
          <w:divBdr>
            <w:top w:val="none" w:sz="0" w:space="0" w:color="auto"/>
            <w:left w:val="none" w:sz="0" w:space="0" w:color="auto"/>
            <w:bottom w:val="none" w:sz="0" w:space="0" w:color="auto"/>
            <w:right w:val="none" w:sz="0" w:space="0" w:color="auto"/>
          </w:divBdr>
        </w:div>
        <w:div w:id="1357199162">
          <w:marLeft w:val="0"/>
          <w:marRight w:val="0"/>
          <w:marTop w:val="0"/>
          <w:marBottom w:val="45"/>
          <w:divBdr>
            <w:top w:val="none" w:sz="0" w:space="0" w:color="auto"/>
            <w:left w:val="none" w:sz="0" w:space="0" w:color="auto"/>
            <w:bottom w:val="none" w:sz="0" w:space="0" w:color="auto"/>
            <w:right w:val="none" w:sz="0" w:space="0" w:color="auto"/>
          </w:divBdr>
        </w:div>
        <w:div w:id="1651326272">
          <w:marLeft w:val="0"/>
          <w:marRight w:val="0"/>
          <w:marTop w:val="0"/>
          <w:marBottom w:val="45"/>
          <w:divBdr>
            <w:top w:val="none" w:sz="0" w:space="0" w:color="auto"/>
            <w:left w:val="none" w:sz="0" w:space="0" w:color="auto"/>
            <w:bottom w:val="none" w:sz="0" w:space="0" w:color="auto"/>
            <w:right w:val="none" w:sz="0" w:space="0" w:color="auto"/>
          </w:divBdr>
        </w:div>
      </w:divsChild>
    </w:div>
    <w:div w:id="429935507">
      <w:bodyDiv w:val="1"/>
      <w:marLeft w:val="0"/>
      <w:marRight w:val="0"/>
      <w:marTop w:val="0"/>
      <w:marBottom w:val="0"/>
      <w:divBdr>
        <w:top w:val="none" w:sz="0" w:space="0" w:color="auto"/>
        <w:left w:val="none" w:sz="0" w:space="0" w:color="auto"/>
        <w:bottom w:val="none" w:sz="0" w:space="0" w:color="auto"/>
        <w:right w:val="none" w:sz="0" w:space="0" w:color="auto"/>
      </w:divBdr>
    </w:div>
    <w:div w:id="430666387">
      <w:bodyDiv w:val="1"/>
      <w:marLeft w:val="0"/>
      <w:marRight w:val="0"/>
      <w:marTop w:val="0"/>
      <w:marBottom w:val="0"/>
      <w:divBdr>
        <w:top w:val="none" w:sz="0" w:space="0" w:color="auto"/>
        <w:left w:val="none" w:sz="0" w:space="0" w:color="auto"/>
        <w:bottom w:val="none" w:sz="0" w:space="0" w:color="auto"/>
        <w:right w:val="none" w:sz="0" w:space="0" w:color="auto"/>
      </w:divBdr>
    </w:div>
    <w:div w:id="446586251">
      <w:bodyDiv w:val="1"/>
      <w:marLeft w:val="0"/>
      <w:marRight w:val="0"/>
      <w:marTop w:val="0"/>
      <w:marBottom w:val="0"/>
      <w:divBdr>
        <w:top w:val="none" w:sz="0" w:space="0" w:color="auto"/>
        <w:left w:val="none" w:sz="0" w:space="0" w:color="auto"/>
        <w:bottom w:val="none" w:sz="0" w:space="0" w:color="auto"/>
        <w:right w:val="none" w:sz="0" w:space="0" w:color="auto"/>
      </w:divBdr>
    </w:div>
    <w:div w:id="570651554">
      <w:bodyDiv w:val="1"/>
      <w:marLeft w:val="0"/>
      <w:marRight w:val="0"/>
      <w:marTop w:val="0"/>
      <w:marBottom w:val="0"/>
      <w:divBdr>
        <w:top w:val="none" w:sz="0" w:space="0" w:color="auto"/>
        <w:left w:val="none" w:sz="0" w:space="0" w:color="auto"/>
        <w:bottom w:val="none" w:sz="0" w:space="0" w:color="auto"/>
        <w:right w:val="none" w:sz="0" w:space="0" w:color="auto"/>
      </w:divBdr>
      <w:divsChild>
        <w:div w:id="1842430261">
          <w:marLeft w:val="0"/>
          <w:marRight w:val="0"/>
          <w:marTop w:val="0"/>
          <w:marBottom w:val="0"/>
          <w:divBdr>
            <w:top w:val="none" w:sz="0" w:space="0" w:color="auto"/>
            <w:left w:val="none" w:sz="0" w:space="0" w:color="auto"/>
            <w:bottom w:val="none" w:sz="0" w:space="0" w:color="auto"/>
            <w:right w:val="none" w:sz="0" w:space="0" w:color="auto"/>
          </w:divBdr>
          <w:divsChild>
            <w:div w:id="36302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624264">
      <w:bodyDiv w:val="1"/>
      <w:marLeft w:val="0"/>
      <w:marRight w:val="0"/>
      <w:marTop w:val="0"/>
      <w:marBottom w:val="0"/>
      <w:divBdr>
        <w:top w:val="none" w:sz="0" w:space="0" w:color="auto"/>
        <w:left w:val="none" w:sz="0" w:space="0" w:color="auto"/>
        <w:bottom w:val="none" w:sz="0" w:space="0" w:color="auto"/>
        <w:right w:val="none" w:sz="0" w:space="0" w:color="auto"/>
      </w:divBdr>
    </w:div>
    <w:div w:id="655257814">
      <w:bodyDiv w:val="1"/>
      <w:marLeft w:val="0"/>
      <w:marRight w:val="0"/>
      <w:marTop w:val="0"/>
      <w:marBottom w:val="0"/>
      <w:divBdr>
        <w:top w:val="none" w:sz="0" w:space="0" w:color="auto"/>
        <w:left w:val="none" w:sz="0" w:space="0" w:color="auto"/>
        <w:bottom w:val="none" w:sz="0" w:space="0" w:color="auto"/>
        <w:right w:val="none" w:sz="0" w:space="0" w:color="auto"/>
      </w:divBdr>
    </w:div>
    <w:div w:id="668019898">
      <w:bodyDiv w:val="1"/>
      <w:marLeft w:val="0"/>
      <w:marRight w:val="0"/>
      <w:marTop w:val="0"/>
      <w:marBottom w:val="0"/>
      <w:divBdr>
        <w:top w:val="none" w:sz="0" w:space="0" w:color="auto"/>
        <w:left w:val="none" w:sz="0" w:space="0" w:color="auto"/>
        <w:bottom w:val="none" w:sz="0" w:space="0" w:color="auto"/>
        <w:right w:val="none" w:sz="0" w:space="0" w:color="auto"/>
      </w:divBdr>
      <w:divsChild>
        <w:div w:id="637687928">
          <w:marLeft w:val="0"/>
          <w:marRight w:val="0"/>
          <w:marTop w:val="0"/>
          <w:marBottom w:val="0"/>
          <w:divBdr>
            <w:top w:val="none" w:sz="0" w:space="0" w:color="auto"/>
            <w:left w:val="none" w:sz="0" w:space="0" w:color="auto"/>
            <w:bottom w:val="none" w:sz="0" w:space="0" w:color="auto"/>
            <w:right w:val="none" w:sz="0" w:space="0" w:color="auto"/>
          </w:divBdr>
          <w:divsChild>
            <w:div w:id="730814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3729022">
      <w:bodyDiv w:val="1"/>
      <w:marLeft w:val="0"/>
      <w:marRight w:val="0"/>
      <w:marTop w:val="0"/>
      <w:marBottom w:val="0"/>
      <w:divBdr>
        <w:top w:val="none" w:sz="0" w:space="0" w:color="auto"/>
        <w:left w:val="none" w:sz="0" w:space="0" w:color="auto"/>
        <w:bottom w:val="none" w:sz="0" w:space="0" w:color="auto"/>
        <w:right w:val="none" w:sz="0" w:space="0" w:color="auto"/>
      </w:divBdr>
      <w:divsChild>
        <w:div w:id="119224297">
          <w:marLeft w:val="0"/>
          <w:marRight w:val="0"/>
          <w:marTop w:val="0"/>
          <w:marBottom w:val="45"/>
          <w:divBdr>
            <w:top w:val="none" w:sz="0" w:space="0" w:color="auto"/>
            <w:left w:val="none" w:sz="0" w:space="0" w:color="auto"/>
            <w:bottom w:val="none" w:sz="0" w:space="0" w:color="auto"/>
            <w:right w:val="none" w:sz="0" w:space="0" w:color="auto"/>
          </w:divBdr>
        </w:div>
        <w:div w:id="1327709618">
          <w:marLeft w:val="0"/>
          <w:marRight w:val="0"/>
          <w:marTop w:val="0"/>
          <w:marBottom w:val="45"/>
          <w:divBdr>
            <w:top w:val="none" w:sz="0" w:space="0" w:color="auto"/>
            <w:left w:val="none" w:sz="0" w:space="0" w:color="auto"/>
            <w:bottom w:val="none" w:sz="0" w:space="0" w:color="auto"/>
            <w:right w:val="none" w:sz="0" w:space="0" w:color="auto"/>
          </w:divBdr>
        </w:div>
        <w:div w:id="1921057722">
          <w:marLeft w:val="0"/>
          <w:marRight w:val="0"/>
          <w:marTop w:val="0"/>
          <w:marBottom w:val="45"/>
          <w:divBdr>
            <w:top w:val="none" w:sz="0" w:space="0" w:color="auto"/>
            <w:left w:val="none" w:sz="0" w:space="0" w:color="auto"/>
            <w:bottom w:val="none" w:sz="0" w:space="0" w:color="auto"/>
            <w:right w:val="none" w:sz="0" w:space="0" w:color="auto"/>
          </w:divBdr>
        </w:div>
        <w:div w:id="1978947833">
          <w:marLeft w:val="0"/>
          <w:marRight w:val="0"/>
          <w:marTop w:val="0"/>
          <w:marBottom w:val="45"/>
          <w:divBdr>
            <w:top w:val="none" w:sz="0" w:space="0" w:color="auto"/>
            <w:left w:val="none" w:sz="0" w:space="0" w:color="auto"/>
            <w:bottom w:val="none" w:sz="0" w:space="0" w:color="auto"/>
            <w:right w:val="none" w:sz="0" w:space="0" w:color="auto"/>
          </w:divBdr>
        </w:div>
      </w:divsChild>
    </w:div>
    <w:div w:id="698702816">
      <w:bodyDiv w:val="1"/>
      <w:marLeft w:val="0"/>
      <w:marRight w:val="0"/>
      <w:marTop w:val="0"/>
      <w:marBottom w:val="0"/>
      <w:divBdr>
        <w:top w:val="none" w:sz="0" w:space="0" w:color="auto"/>
        <w:left w:val="none" w:sz="0" w:space="0" w:color="auto"/>
        <w:bottom w:val="none" w:sz="0" w:space="0" w:color="auto"/>
        <w:right w:val="none" w:sz="0" w:space="0" w:color="auto"/>
      </w:divBdr>
    </w:div>
    <w:div w:id="733816578">
      <w:bodyDiv w:val="1"/>
      <w:marLeft w:val="0"/>
      <w:marRight w:val="0"/>
      <w:marTop w:val="0"/>
      <w:marBottom w:val="0"/>
      <w:divBdr>
        <w:top w:val="none" w:sz="0" w:space="0" w:color="auto"/>
        <w:left w:val="none" w:sz="0" w:space="0" w:color="auto"/>
        <w:bottom w:val="none" w:sz="0" w:space="0" w:color="auto"/>
        <w:right w:val="none" w:sz="0" w:space="0" w:color="auto"/>
      </w:divBdr>
      <w:divsChild>
        <w:div w:id="312299036">
          <w:marLeft w:val="0"/>
          <w:marRight w:val="0"/>
          <w:marTop w:val="0"/>
          <w:marBottom w:val="0"/>
          <w:divBdr>
            <w:top w:val="none" w:sz="0" w:space="0" w:color="auto"/>
            <w:left w:val="none" w:sz="0" w:space="0" w:color="auto"/>
            <w:bottom w:val="none" w:sz="0" w:space="0" w:color="auto"/>
            <w:right w:val="none" w:sz="0" w:space="0" w:color="auto"/>
          </w:divBdr>
          <w:divsChild>
            <w:div w:id="920064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9567863">
      <w:bodyDiv w:val="1"/>
      <w:marLeft w:val="0"/>
      <w:marRight w:val="0"/>
      <w:marTop w:val="0"/>
      <w:marBottom w:val="0"/>
      <w:divBdr>
        <w:top w:val="none" w:sz="0" w:space="0" w:color="auto"/>
        <w:left w:val="none" w:sz="0" w:space="0" w:color="auto"/>
        <w:bottom w:val="none" w:sz="0" w:space="0" w:color="auto"/>
        <w:right w:val="none" w:sz="0" w:space="0" w:color="auto"/>
      </w:divBdr>
      <w:divsChild>
        <w:div w:id="1278487396">
          <w:marLeft w:val="0"/>
          <w:marRight w:val="0"/>
          <w:marTop w:val="0"/>
          <w:marBottom w:val="0"/>
          <w:divBdr>
            <w:top w:val="none" w:sz="0" w:space="0" w:color="auto"/>
            <w:left w:val="none" w:sz="0" w:space="0" w:color="auto"/>
            <w:bottom w:val="none" w:sz="0" w:space="0" w:color="auto"/>
            <w:right w:val="none" w:sz="0" w:space="0" w:color="auto"/>
          </w:divBdr>
          <w:divsChild>
            <w:div w:id="24025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922143">
      <w:bodyDiv w:val="1"/>
      <w:marLeft w:val="0"/>
      <w:marRight w:val="0"/>
      <w:marTop w:val="0"/>
      <w:marBottom w:val="0"/>
      <w:divBdr>
        <w:top w:val="none" w:sz="0" w:space="0" w:color="auto"/>
        <w:left w:val="none" w:sz="0" w:space="0" w:color="auto"/>
        <w:bottom w:val="none" w:sz="0" w:space="0" w:color="auto"/>
        <w:right w:val="none" w:sz="0" w:space="0" w:color="auto"/>
      </w:divBdr>
    </w:div>
    <w:div w:id="885603214">
      <w:bodyDiv w:val="1"/>
      <w:marLeft w:val="0"/>
      <w:marRight w:val="0"/>
      <w:marTop w:val="0"/>
      <w:marBottom w:val="0"/>
      <w:divBdr>
        <w:top w:val="none" w:sz="0" w:space="0" w:color="auto"/>
        <w:left w:val="none" w:sz="0" w:space="0" w:color="auto"/>
        <w:bottom w:val="none" w:sz="0" w:space="0" w:color="auto"/>
        <w:right w:val="none" w:sz="0" w:space="0" w:color="auto"/>
      </w:divBdr>
    </w:div>
    <w:div w:id="905188367">
      <w:bodyDiv w:val="1"/>
      <w:marLeft w:val="0"/>
      <w:marRight w:val="0"/>
      <w:marTop w:val="0"/>
      <w:marBottom w:val="0"/>
      <w:divBdr>
        <w:top w:val="none" w:sz="0" w:space="0" w:color="auto"/>
        <w:left w:val="none" w:sz="0" w:space="0" w:color="auto"/>
        <w:bottom w:val="none" w:sz="0" w:space="0" w:color="auto"/>
        <w:right w:val="none" w:sz="0" w:space="0" w:color="auto"/>
      </w:divBdr>
    </w:div>
    <w:div w:id="914900389">
      <w:bodyDiv w:val="1"/>
      <w:marLeft w:val="0"/>
      <w:marRight w:val="0"/>
      <w:marTop w:val="0"/>
      <w:marBottom w:val="0"/>
      <w:divBdr>
        <w:top w:val="none" w:sz="0" w:space="0" w:color="auto"/>
        <w:left w:val="none" w:sz="0" w:space="0" w:color="auto"/>
        <w:bottom w:val="none" w:sz="0" w:space="0" w:color="auto"/>
        <w:right w:val="none" w:sz="0" w:space="0" w:color="auto"/>
      </w:divBdr>
    </w:div>
    <w:div w:id="990985017">
      <w:bodyDiv w:val="1"/>
      <w:marLeft w:val="0"/>
      <w:marRight w:val="0"/>
      <w:marTop w:val="0"/>
      <w:marBottom w:val="0"/>
      <w:divBdr>
        <w:top w:val="none" w:sz="0" w:space="0" w:color="auto"/>
        <w:left w:val="none" w:sz="0" w:space="0" w:color="auto"/>
        <w:bottom w:val="none" w:sz="0" w:space="0" w:color="auto"/>
        <w:right w:val="none" w:sz="0" w:space="0" w:color="auto"/>
      </w:divBdr>
    </w:div>
    <w:div w:id="1046678844">
      <w:bodyDiv w:val="1"/>
      <w:marLeft w:val="0"/>
      <w:marRight w:val="0"/>
      <w:marTop w:val="0"/>
      <w:marBottom w:val="0"/>
      <w:divBdr>
        <w:top w:val="none" w:sz="0" w:space="0" w:color="auto"/>
        <w:left w:val="none" w:sz="0" w:space="0" w:color="auto"/>
        <w:bottom w:val="none" w:sz="0" w:space="0" w:color="auto"/>
        <w:right w:val="none" w:sz="0" w:space="0" w:color="auto"/>
      </w:divBdr>
      <w:divsChild>
        <w:div w:id="1935169160">
          <w:marLeft w:val="0"/>
          <w:marRight w:val="0"/>
          <w:marTop w:val="0"/>
          <w:marBottom w:val="0"/>
          <w:divBdr>
            <w:top w:val="none" w:sz="0" w:space="0" w:color="auto"/>
            <w:left w:val="none" w:sz="0" w:space="0" w:color="auto"/>
            <w:bottom w:val="none" w:sz="0" w:space="0" w:color="auto"/>
            <w:right w:val="none" w:sz="0" w:space="0" w:color="auto"/>
          </w:divBdr>
          <w:divsChild>
            <w:div w:id="129131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8188975">
      <w:bodyDiv w:val="1"/>
      <w:marLeft w:val="0"/>
      <w:marRight w:val="0"/>
      <w:marTop w:val="0"/>
      <w:marBottom w:val="0"/>
      <w:divBdr>
        <w:top w:val="none" w:sz="0" w:space="0" w:color="auto"/>
        <w:left w:val="none" w:sz="0" w:space="0" w:color="auto"/>
        <w:bottom w:val="none" w:sz="0" w:space="0" w:color="auto"/>
        <w:right w:val="none" w:sz="0" w:space="0" w:color="auto"/>
      </w:divBdr>
    </w:div>
    <w:div w:id="1069619207">
      <w:bodyDiv w:val="1"/>
      <w:marLeft w:val="0"/>
      <w:marRight w:val="0"/>
      <w:marTop w:val="0"/>
      <w:marBottom w:val="0"/>
      <w:divBdr>
        <w:top w:val="none" w:sz="0" w:space="0" w:color="auto"/>
        <w:left w:val="none" w:sz="0" w:space="0" w:color="auto"/>
        <w:bottom w:val="none" w:sz="0" w:space="0" w:color="auto"/>
        <w:right w:val="none" w:sz="0" w:space="0" w:color="auto"/>
      </w:divBdr>
    </w:div>
    <w:div w:id="1079594669">
      <w:bodyDiv w:val="1"/>
      <w:marLeft w:val="0"/>
      <w:marRight w:val="0"/>
      <w:marTop w:val="0"/>
      <w:marBottom w:val="0"/>
      <w:divBdr>
        <w:top w:val="none" w:sz="0" w:space="0" w:color="auto"/>
        <w:left w:val="none" w:sz="0" w:space="0" w:color="auto"/>
        <w:bottom w:val="none" w:sz="0" w:space="0" w:color="auto"/>
        <w:right w:val="none" w:sz="0" w:space="0" w:color="auto"/>
      </w:divBdr>
    </w:div>
    <w:div w:id="1108503571">
      <w:bodyDiv w:val="1"/>
      <w:marLeft w:val="0"/>
      <w:marRight w:val="0"/>
      <w:marTop w:val="0"/>
      <w:marBottom w:val="0"/>
      <w:divBdr>
        <w:top w:val="none" w:sz="0" w:space="0" w:color="auto"/>
        <w:left w:val="none" w:sz="0" w:space="0" w:color="auto"/>
        <w:bottom w:val="none" w:sz="0" w:space="0" w:color="auto"/>
        <w:right w:val="none" w:sz="0" w:space="0" w:color="auto"/>
      </w:divBdr>
    </w:div>
    <w:div w:id="1125277235">
      <w:bodyDiv w:val="1"/>
      <w:marLeft w:val="0"/>
      <w:marRight w:val="0"/>
      <w:marTop w:val="0"/>
      <w:marBottom w:val="0"/>
      <w:divBdr>
        <w:top w:val="none" w:sz="0" w:space="0" w:color="auto"/>
        <w:left w:val="none" w:sz="0" w:space="0" w:color="auto"/>
        <w:bottom w:val="none" w:sz="0" w:space="0" w:color="auto"/>
        <w:right w:val="none" w:sz="0" w:space="0" w:color="auto"/>
      </w:divBdr>
    </w:div>
    <w:div w:id="1142967578">
      <w:bodyDiv w:val="1"/>
      <w:marLeft w:val="0"/>
      <w:marRight w:val="0"/>
      <w:marTop w:val="0"/>
      <w:marBottom w:val="0"/>
      <w:divBdr>
        <w:top w:val="none" w:sz="0" w:space="0" w:color="auto"/>
        <w:left w:val="none" w:sz="0" w:space="0" w:color="auto"/>
        <w:bottom w:val="none" w:sz="0" w:space="0" w:color="auto"/>
        <w:right w:val="none" w:sz="0" w:space="0" w:color="auto"/>
      </w:divBdr>
    </w:div>
    <w:div w:id="1161461343">
      <w:bodyDiv w:val="1"/>
      <w:marLeft w:val="0"/>
      <w:marRight w:val="0"/>
      <w:marTop w:val="0"/>
      <w:marBottom w:val="0"/>
      <w:divBdr>
        <w:top w:val="none" w:sz="0" w:space="0" w:color="auto"/>
        <w:left w:val="none" w:sz="0" w:space="0" w:color="auto"/>
        <w:bottom w:val="none" w:sz="0" w:space="0" w:color="auto"/>
        <w:right w:val="none" w:sz="0" w:space="0" w:color="auto"/>
      </w:divBdr>
    </w:div>
    <w:div w:id="1167209372">
      <w:bodyDiv w:val="1"/>
      <w:marLeft w:val="0"/>
      <w:marRight w:val="0"/>
      <w:marTop w:val="0"/>
      <w:marBottom w:val="0"/>
      <w:divBdr>
        <w:top w:val="none" w:sz="0" w:space="0" w:color="auto"/>
        <w:left w:val="none" w:sz="0" w:space="0" w:color="auto"/>
        <w:bottom w:val="none" w:sz="0" w:space="0" w:color="auto"/>
        <w:right w:val="none" w:sz="0" w:space="0" w:color="auto"/>
      </w:divBdr>
    </w:div>
    <w:div w:id="1167481352">
      <w:bodyDiv w:val="1"/>
      <w:marLeft w:val="0"/>
      <w:marRight w:val="0"/>
      <w:marTop w:val="0"/>
      <w:marBottom w:val="0"/>
      <w:divBdr>
        <w:top w:val="none" w:sz="0" w:space="0" w:color="auto"/>
        <w:left w:val="none" w:sz="0" w:space="0" w:color="auto"/>
        <w:bottom w:val="none" w:sz="0" w:space="0" w:color="auto"/>
        <w:right w:val="none" w:sz="0" w:space="0" w:color="auto"/>
      </w:divBdr>
    </w:div>
    <w:div w:id="1193229454">
      <w:bodyDiv w:val="1"/>
      <w:marLeft w:val="0"/>
      <w:marRight w:val="0"/>
      <w:marTop w:val="0"/>
      <w:marBottom w:val="0"/>
      <w:divBdr>
        <w:top w:val="none" w:sz="0" w:space="0" w:color="auto"/>
        <w:left w:val="none" w:sz="0" w:space="0" w:color="auto"/>
        <w:bottom w:val="none" w:sz="0" w:space="0" w:color="auto"/>
        <w:right w:val="none" w:sz="0" w:space="0" w:color="auto"/>
      </w:divBdr>
    </w:div>
    <w:div w:id="1194078141">
      <w:bodyDiv w:val="1"/>
      <w:marLeft w:val="0"/>
      <w:marRight w:val="0"/>
      <w:marTop w:val="0"/>
      <w:marBottom w:val="0"/>
      <w:divBdr>
        <w:top w:val="none" w:sz="0" w:space="0" w:color="auto"/>
        <w:left w:val="none" w:sz="0" w:space="0" w:color="auto"/>
        <w:bottom w:val="none" w:sz="0" w:space="0" w:color="auto"/>
        <w:right w:val="none" w:sz="0" w:space="0" w:color="auto"/>
      </w:divBdr>
    </w:div>
    <w:div w:id="1309745472">
      <w:bodyDiv w:val="1"/>
      <w:marLeft w:val="0"/>
      <w:marRight w:val="0"/>
      <w:marTop w:val="0"/>
      <w:marBottom w:val="0"/>
      <w:divBdr>
        <w:top w:val="none" w:sz="0" w:space="0" w:color="auto"/>
        <w:left w:val="none" w:sz="0" w:space="0" w:color="auto"/>
        <w:bottom w:val="none" w:sz="0" w:space="0" w:color="auto"/>
        <w:right w:val="none" w:sz="0" w:space="0" w:color="auto"/>
      </w:divBdr>
      <w:divsChild>
        <w:div w:id="1870608627">
          <w:marLeft w:val="0"/>
          <w:marRight w:val="0"/>
          <w:marTop w:val="0"/>
          <w:marBottom w:val="0"/>
          <w:divBdr>
            <w:top w:val="none" w:sz="0" w:space="0" w:color="auto"/>
            <w:left w:val="none" w:sz="0" w:space="0" w:color="auto"/>
            <w:bottom w:val="none" w:sz="0" w:space="0" w:color="auto"/>
            <w:right w:val="none" w:sz="0" w:space="0" w:color="auto"/>
          </w:divBdr>
          <w:divsChild>
            <w:div w:id="59983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207928">
      <w:bodyDiv w:val="1"/>
      <w:marLeft w:val="0"/>
      <w:marRight w:val="0"/>
      <w:marTop w:val="0"/>
      <w:marBottom w:val="0"/>
      <w:divBdr>
        <w:top w:val="none" w:sz="0" w:space="0" w:color="auto"/>
        <w:left w:val="none" w:sz="0" w:space="0" w:color="auto"/>
        <w:bottom w:val="none" w:sz="0" w:space="0" w:color="auto"/>
        <w:right w:val="none" w:sz="0" w:space="0" w:color="auto"/>
      </w:divBdr>
    </w:div>
    <w:div w:id="1430347297">
      <w:bodyDiv w:val="1"/>
      <w:marLeft w:val="0"/>
      <w:marRight w:val="0"/>
      <w:marTop w:val="0"/>
      <w:marBottom w:val="0"/>
      <w:divBdr>
        <w:top w:val="none" w:sz="0" w:space="0" w:color="auto"/>
        <w:left w:val="none" w:sz="0" w:space="0" w:color="auto"/>
        <w:bottom w:val="none" w:sz="0" w:space="0" w:color="auto"/>
        <w:right w:val="none" w:sz="0" w:space="0" w:color="auto"/>
      </w:divBdr>
    </w:div>
    <w:div w:id="1455716194">
      <w:bodyDiv w:val="1"/>
      <w:marLeft w:val="0"/>
      <w:marRight w:val="0"/>
      <w:marTop w:val="0"/>
      <w:marBottom w:val="0"/>
      <w:divBdr>
        <w:top w:val="none" w:sz="0" w:space="0" w:color="auto"/>
        <w:left w:val="none" w:sz="0" w:space="0" w:color="auto"/>
        <w:bottom w:val="none" w:sz="0" w:space="0" w:color="auto"/>
        <w:right w:val="none" w:sz="0" w:space="0" w:color="auto"/>
      </w:divBdr>
      <w:divsChild>
        <w:div w:id="75176157">
          <w:marLeft w:val="0"/>
          <w:marRight w:val="0"/>
          <w:marTop w:val="0"/>
          <w:marBottom w:val="0"/>
          <w:divBdr>
            <w:top w:val="none" w:sz="0" w:space="0" w:color="auto"/>
            <w:left w:val="none" w:sz="0" w:space="0" w:color="auto"/>
            <w:bottom w:val="none" w:sz="0" w:space="0" w:color="auto"/>
            <w:right w:val="none" w:sz="0" w:space="0" w:color="auto"/>
          </w:divBdr>
          <w:divsChild>
            <w:div w:id="2014071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8735548">
      <w:bodyDiv w:val="1"/>
      <w:marLeft w:val="0"/>
      <w:marRight w:val="0"/>
      <w:marTop w:val="0"/>
      <w:marBottom w:val="0"/>
      <w:divBdr>
        <w:top w:val="none" w:sz="0" w:space="0" w:color="auto"/>
        <w:left w:val="none" w:sz="0" w:space="0" w:color="auto"/>
        <w:bottom w:val="none" w:sz="0" w:space="0" w:color="auto"/>
        <w:right w:val="none" w:sz="0" w:space="0" w:color="auto"/>
      </w:divBdr>
    </w:div>
    <w:div w:id="1562907469">
      <w:bodyDiv w:val="1"/>
      <w:marLeft w:val="0"/>
      <w:marRight w:val="0"/>
      <w:marTop w:val="0"/>
      <w:marBottom w:val="0"/>
      <w:divBdr>
        <w:top w:val="none" w:sz="0" w:space="0" w:color="auto"/>
        <w:left w:val="none" w:sz="0" w:space="0" w:color="auto"/>
        <w:bottom w:val="none" w:sz="0" w:space="0" w:color="auto"/>
        <w:right w:val="none" w:sz="0" w:space="0" w:color="auto"/>
      </w:divBdr>
    </w:div>
    <w:div w:id="1639262712">
      <w:bodyDiv w:val="1"/>
      <w:marLeft w:val="0"/>
      <w:marRight w:val="0"/>
      <w:marTop w:val="0"/>
      <w:marBottom w:val="0"/>
      <w:divBdr>
        <w:top w:val="none" w:sz="0" w:space="0" w:color="auto"/>
        <w:left w:val="none" w:sz="0" w:space="0" w:color="auto"/>
        <w:bottom w:val="none" w:sz="0" w:space="0" w:color="auto"/>
        <w:right w:val="none" w:sz="0" w:space="0" w:color="auto"/>
      </w:divBdr>
    </w:div>
    <w:div w:id="1655451846">
      <w:bodyDiv w:val="1"/>
      <w:marLeft w:val="0"/>
      <w:marRight w:val="0"/>
      <w:marTop w:val="0"/>
      <w:marBottom w:val="0"/>
      <w:divBdr>
        <w:top w:val="none" w:sz="0" w:space="0" w:color="auto"/>
        <w:left w:val="none" w:sz="0" w:space="0" w:color="auto"/>
        <w:bottom w:val="none" w:sz="0" w:space="0" w:color="auto"/>
        <w:right w:val="none" w:sz="0" w:space="0" w:color="auto"/>
      </w:divBdr>
    </w:div>
    <w:div w:id="1669672939">
      <w:bodyDiv w:val="1"/>
      <w:marLeft w:val="0"/>
      <w:marRight w:val="0"/>
      <w:marTop w:val="0"/>
      <w:marBottom w:val="0"/>
      <w:divBdr>
        <w:top w:val="none" w:sz="0" w:space="0" w:color="auto"/>
        <w:left w:val="none" w:sz="0" w:space="0" w:color="auto"/>
        <w:bottom w:val="none" w:sz="0" w:space="0" w:color="auto"/>
        <w:right w:val="none" w:sz="0" w:space="0" w:color="auto"/>
      </w:divBdr>
    </w:div>
    <w:div w:id="1785804311">
      <w:bodyDiv w:val="1"/>
      <w:marLeft w:val="0"/>
      <w:marRight w:val="0"/>
      <w:marTop w:val="0"/>
      <w:marBottom w:val="0"/>
      <w:divBdr>
        <w:top w:val="none" w:sz="0" w:space="0" w:color="auto"/>
        <w:left w:val="none" w:sz="0" w:space="0" w:color="auto"/>
        <w:bottom w:val="none" w:sz="0" w:space="0" w:color="auto"/>
        <w:right w:val="none" w:sz="0" w:space="0" w:color="auto"/>
      </w:divBdr>
      <w:divsChild>
        <w:div w:id="1445147204">
          <w:marLeft w:val="0"/>
          <w:marRight w:val="0"/>
          <w:marTop w:val="0"/>
          <w:marBottom w:val="0"/>
          <w:divBdr>
            <w:top w:val="none" w:sz="0" w:space="0" w:color="auto"/>
            <w:left w:val="none" w:sz="0" w:space="0" w:color="auto"/>
            <w:bottom w:val="none" w:sz="0" w:space="0" w:color="auto"/>
            <w:right w:val="none" w:sz="0" w:space="0" w:color="auto"/>
          </w:divBdr>
          <w:divsChild>
            <w:div w:id="490098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4215701">
      <w:bodyDiv w:val="1"/>
      <w:marLeft w:val="0"/>
      <w:marRight w:val="0"/>
      <w:marTop w:val="0"/>
      <w:marBottom w:val="0"/>
      <w:divBdr>
        <w:top w:val="none" w:sz="0" w:space="0" w:color="auto"/>
        <w:left w:val="none" w:sz="0" w:space="0" w:color="auto"/>
        <w:bottom w:val="none" w:sz="0" w:space="0" w:color="auto"/>
        <w:right w:val="none" w:sz="0" w:space="0" w:color="auto"/>
      </w:divBdr>
      <w:divsChild>
        <w:div w:id="2082750752">
          <w:marLeft w:val="0"/>
          <w:marRight w:val="0"/>
          <w:marTop w:val="0"/>
          <w:marBottom w:val="0"/>
          <w:divBdr>
            <w:top w:val="none" w:sz="0" w:space="0" w:color="auto"/>
            <w:left w:val="none" w:sz="0" w:space="0" w:color="auto"/>
            <w:bottom w:val="none" w:sz="0" w:space="0" w:color="auto"/>
            <w:right w:val="none" w:sz="0" w:space="0" w:color="auto"/>
          </w:divBdr>
          <w:divsChild>
            <w:div w:id="71397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5817950">
      <w:bodyDiv w:val="1"/>
      <w:marLeft w:val="0"/>
      <w:marRight w:val="0"/>
      <w:marTop w:val="0"/>
      <w:marBottom w:val="0"/>
      <w:divBdr>
        <w:top w:val="none" w:sz="0" w:space="0" w:color="auto"/>
        <w:left w:val="none" w:sz="0" w:space="0" w:color="auto"/>
        <w:bottom w:val="none" w:sz="0" w:space="0" w:color="auto"/>
        <w:right w:val="none" w:sz="0" w:space="0" w:color="auto"/>
      </w:divBdr>
    </w:div>
    <w:div w:id="2022513715">
      <w:bodyDiv w:val="1"/>
      <w:marLeft w:val="0"/>
      <w:marRight w:val="0"/>
      <w:marTop w:val="0"/>
      <w:marBottom w:val="0"/>
      <w:divBdr>
        <w:top w:val="none" w:sz="0" w:space="0" w:color="auto"/>
        <w:left w:val="none" w:sz="0" w:space="0" w:color="auto"/>
        <w:bottom w:val="none" w:sz="0" w:space="0" w:color="auto"/>
        <w:right w:val="none" w:sz="0" w:space="0" w:color="auto"/>
      </w:divBdr>
    </w:div>
    <w:div w:id="2068143157">
      <w:bodyDiv w:val="1"/>
      <w:marLeft w:val="0"/>
      <w:marRight w:val="0"/>
      <w:marTop w:val="0"/>
      <w:marBottom w:val="0"/>
      <w:divBdr>
        <w:top w:val="none" w:sz="0" w:space="0" w:color="auto"/>
        <w:left w:val="none" w:sz="0" w:space="0" w:color="auto"/>
        <w:bottom w:val="none" w:sz="0" w:space="0" w:color="auto"/>
        <w:right w:val="none" w:sz="0" w:space="0" w:color="auto"/>
      </w:divBdr>
    </w:div>
    <w:div w:id="2088650423">
      <w:bodyDiv w:val="1"/>
      <w:marLeft w:val="0"/>
      <w:marRight w:val="0"/>
      <w:marTop w:val="0"/>
      <w:marBottom w:val="0"/>
      <w:divBdr>
        <w:top w:val="none" w:sz="0" w:space="0" w:color="auto"/>
        <w:left w:val="none" w:sz="0" w:space="0" w:color="auto"/>
        <w:bottom w:val="none" w:sz="0" w:space="0" w:color="auto"/>
        <w:right w:val="none" w:sz="0" w:space="0" w:color="auto"/>
      </w:divBdr>
      <w:divsChild>
        <w:div w:id="588662679">
          <w:marLeft w:val="0"/>
          <w:marRight w:val="0"/>
          <w:marTop w:val="0"/>
          <w:marBottom w:val="45"/>
          <w:divBdr>
            <w:top w:val="none" w:sz="0" w:space="0" w:color="auto"/>
            <w:left w:val="none" w:sz="0" w:space="0" w:color="auto"/>
            <w:bottom w:val="none" w:sz="0" w:space="0" w:color="auto"/>
            <w:right w:val="none" w:sz="0" w:space="0" w:color="auto"/>
          </w:divBdr>
        </w:div>
        <w:div w:id="726732702">
          <w:marLeft w:val="0"/>
          <w:marRight w:val="0"/>
          <w:marTop w:val="0"/>
          <w:marBottom w:val="45"/>
          <w:divBdr>
            <w:top w:val="none" w:sz="0" w:space="0" w:color="auto"/>
            <w:left w:val="none" w:sz="0" w:space="0" w:color="auto"/>
            <w:bottom w:val="none" w:sz="0" w:space="0" w:color="auto"/>
            <w:right w:val="none" w:sz="0" w:space="0" w:color="auto"/>
          </w:divBdr>
        </w:div>
        <w:div w:id="1785034938">
          <w:marLeft w:val="0"/>
          <w:marRight w:val="0"/>
          <w:marTop w:val="0"/>
          <w:marBottom w:val="45"/>
          <w:divBdr>
            <w:top w:val="none" w:sz="0" w:space="0" w:color="auto"/>
            <w:left w:val="none" w:sz="0" w:space="0" w:color="auto"/>
            <w:bottom w:val="none" w:sz="0" w:space="0" w:color="auto"/>
            <w:right w:val="none" w:sz="0" w:space="0" w:color="auto"/>
          </w:divBdr>
        </w:div>
        <w:div w:id="2038967318">
          <w:marLeft w:val="0"/>
          <w:marRight w:val="0"/>
          <w:marTop w:val="0"/>
          <w:marBottom w:val="45"/>
          <w:divBdr>
            <w:top w:val="none" w:sz="0" w:space="0" w:color="auto"/>
            <w:left w:val="none" w:sz="0" w:space="0" w:color="auto"/>
            <w:bottom w:val="none" w:sz="0" w:space="0" w:color="auto"/>
            <w:right w:val="none" w:sz="0" w:space="0" w:color="auto"/>
          </w:divBdr>
        </w:div>
      </w:divsChild>
    </w:div>
    <w:div w:id="20999351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hgvs.org/mutnomen"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s://www.ncbi.nlm.nih.gov/pubmed/28265006" TargetMode="External"/><Relationship Id="rId14" Type="http://schemas.openxmlformats.org/officeDocument/2006/relationships/hyperlink" Target="https://www.ncbi.nlm.nih.gov/pubmed/34937915" TargetMode="External"/><Relationship Id="rId15" Type="http://schemas.openxmlformats.org/officeDocument/2006/relationships/hyperlink" Target="https://www.ncbi.nlm.nih.gov/pubmed/36008722" TargetMode="External"/><Relationship Id="rId16" Type="http://schemas.openxmlformats.org/officeDocument/2006/relationships/hyperlink" Target="https://www.ncbi.nlm.nih.gov/pubmed/33476593" TargetMode="External"/><Relationship Id="rId17" Type="http://schemas.openxmlformats.org/officeDocument/2006/relationships/hyperlink" Target="https://www.ncbi.nlm.nih.gov/pubmed/34607285" TargetMode="External"/><Relationship Id="rId18" Type="http://schemas.openxmlformats.org/officeDocument/2006/relationships/hyperlink" Target="https://www.ncbi.nlm.nih.gov/pubmed/27042127" TargetMode="External"/><Relationship Id="rId19" Type="http://schemas.openxmlformats.org/officeDocument/2006/relationships/hyperlink" Target="https://www.ncbi.nlm.nih.gov/pubmed/23444951" TargetMode="External"/><Relationship Id="rId20" Type="http://schemas.openxmlformats.org/officeDocument/2006/relationships/hyperlink" Target="https://www.ncbi.nlm.nih.gov/pubmed/36327426" TargetMode="External"/><Relationship Id="rId21" Type="http://schemas.openxmlformats.org/officeDocument/2006/relationships/hyperlink" Target="https://www.ncbi.nlm.nih.gov/pubmed/33645367" TargetMode="External"/><Relationship Id="rId22" Type="http://schemas.openxmlformats.org/officeDocument/2006/relationships/hyperlink" Target="https://www.ncbi.nlm.nih.gov/pubmed/34731446" TargetMode="External"/><Relationship Id="rId23" Type="http://schemas.openxmlformats.org/officeDocument/2006/relationships/hyperlink" Target="https://www.ncbi.nlm.nih.gov/pubmed/27979383" TargetMode="External"/><Relationship Id="rId24" Type="http://schemas.openxmlformats.org/officeDocument/2006/relationships/hyperlink" Target="https://www.ncbi.nlm.nih.gov/pubmed/28885881" TargetMode="External"/><Relationship Id="rId25" Type="http://schemas.openxmlformats.org/officeDocument/2006/relationships/hyperlink" Target="https://www.ncbi.nlm.nih.gov/pubmed/30280658" TargetMode="External"/><Relationship Id="rId26" Type="http://schemas.openxmlformats.org/officeDocument/2006/relationships/hyperlink" Target="https://www.ncbi.nlm.nih.gov/pubmed/32209338" TargetMode="External"/><Relationship Id="rId27" Type="http://schemas.openxmlformats.org/officeDocument/2006/relationships/hyperlink" Target="https://www.ncbi.nlm.nih.gov/pubmed/33583206" TargetMode="External"/><Relationship Id="rId28" Type="http://schemas.openxmlformats.org/officeDocument/2006/relationships/hyperlink" Target="https://www.ncbi.nlm.nih.gov/pubmed/35403841" TargetMode="External"/><Relationship Id="rId29" Type="http://schemas.openxmlformats.org/officeDocument/2006/relationships/hyperlink" Target="https://www.ncbi.nlm.nih.gov/pubmed/26028407" TargetMode="External"/><Relationship Id="rId30" Type="http://schemas.openxmlformats.org/officeDocument/2006/relationships/hyperlink" Target="https://www.ncbi.nlm.nih.gov/pubmed/26412456" TargetMode="External"/><Relationship Id="rId31" Type="http://schemas.openxmlformats.org/officeDocument/2006/relationships/hyperlink" Target="https://www.ncbi.nlm.nih.gov/pubmed/29023213" TargetMode="External"/><Relationship Id="rId32" Type="http://schemas.openxmlformats.org/officeDocument/2006/relationships/hyperlink" Target="https://www.ncbi.nlm.nih.gov/pubmed/33449799" TargetMode="External"/><Relationship Id="rId33" Type="http://schemas.openxmlformats.org/officeDocument/2006/relationships/hyperlink" Target="https://www.ncbi.nlm.nih.gov/pubmed/28878676" TargetMode="External"/><Relationship Id="rId34" Type="http://schemas.openxmlformats.org/officeDocument/2006/relationships/hyperlink" Target="https://www.ncbi.nlm.nih.gov/pubmed/23718298" TargetMode="External"/><Relationship Id="rId35" Type="http://schemas.openxmlformats.org/officeDocument/2006/relationships/hyperlink" Target="https://www.ncbi.nlm.nih.gov/pubmed/30314524" TargetMode="External"/><Relationship Id="rId36" Type="http://schemas.openxmlformats.org/officeDocument/2006/relationships/hyperlink" Target="https://www.ncbi.nlm.nih.gov/pubmed/27306885" TargetMode="External"/><Relationship Id="rId37" Type="http://schemas.openxmlformats.org/officeDocument/2006/relationships/hyperlink" Target="https://www.ncbi.nlm.nih.gov/pubmed/29191593" TargetMode="External"/><Relationship Id="rId38" Type="http://schemas.openxmlformats.org/officeDocument/2006/relationships/hyperlink" Target="https://www.ncbi.nlm.nih.gov/pubmed/24933332" TargetMode="External"/><Relationship Id="rId39" Type="http://schemas.openxmlformats.org/officeDocument/2006/relationships/hyperlink" Target="https://www.ncbi.nlm.nih.gov/pubmed/23419196" TargetMode="External"/><Relationship Id="rId40" Type="http://schemas.openxmlformats.org/officeDocument/2006/relationships/hyperlink" Target="https://www.ncbi.nlm.nih.gov/pubmed/20688807" TargetMode="External"/><Relationship Id="rId41" Type="http://schemas.openxmlformats.org/officeDocument/2006/relationships/hyperlink" Target="https://www.ncbi.nlm.nih.gov/pubmed/32335505" TargetMode="External"/><Relationship Id="rId42" Type="http://schemas.openxmlformats.org/officeDocument/2006/relationships/hyperlink" Target="https://www.ncbi.nlm.nih.gov/pubmed/17167137" TargetMode="External"/><Relationship Id="rId43" Type="http://schemas.openxmlformats.org/officeDocument/2006/relationships/hyperlink" Target="https://www.ncbi.nlm.nih.gov/pubmed/17602060" TargetMode="External"/><Relationship Id="rId44" Type="http://schemas.openxmlformats.org/officeDocument/2006/relationships/hyperlink" Target="https://www.ncbi.nlm.nih.gov/pubmed/33725344" TargetMode="External"/><Relationship Id="rId45" Type="http://schemas.openxmlformats.org/officeDocument/2006/relationships/hyperlink" Target="https://www.ncbi.nlm.nih.gov/pubmed/20150572" TargetMode="External"/><Relationship Id="rId46" Type="http://schemas.openxmlformats.org/officeDocument/2006/relationships/hyperlink" Target="https://www.ncbi.nlm.nih.gov/pubmed/30392436" TargetMode="External"/><Relationship Id="rId47" Type="http://schemas.openxmlformats.org/officeDocument/2006/relationships/hyperlink" Target="https://www.ncbi.nlm.nih.gov/pubmed/29902295" TargetMode="External"/><Relationship Id="rId48" Type="http://schemas.openxmlformats.org/officeDocument/2006/relationships/hyperlink" Target="https://www.ncbi.nlm.nih.gov/pubmed/26156651" TargetMode="External"/><Relationship Id="rId49" Type="http://schemas.openxmlformats.org/officeDocument/2006/relationships/hyperlink" Target="https://www.ncbi.nlm.nih.gov/pubmed/33061419" TargetMode="External"/><Relationship Id="rId50" Type="http://schemas.openxmlformats.org/officeDocument/2006/relationships/hyperlink" Target="https://www.ncbi.nlm.nih.gov/pubmed/31432705" TargetMode="External"/><Relationship Id="rId51" Type="http://schemas.openxmlformats.org/officeDocument/2006/relationships/hyperlink" Target="https://www.ncbi.nlm.nih.gov/pubmed/30280635" TargetMode="External"/><Relationship Id="rId52" Type="http://schemas.openxmlformats.org/officeDocument/2006/relationships/hyperlink" Target="https://www.ncbi.nlm.nih.gov/pubmed/31751163" TargetMode="External"/><Relationship Id="rId53" Type="http://schemas.openxmlformats.org/officeDocument/2006/relationships/hyperlink" Target="https://www.ncbi.nlm.nih.gov/pubmed/18275813" TargetMode="External"/><Relationship Id="rId54" Type="http://schemas.openxmlformats.org/officeDocument/2006/relationships/hyperlink" Target="https://www.ncbi.nlm.nih.gov/pubmed/30025476" TargetMode="External"/><Relationship Id="rId55" Type="http://schemas.openxmlformats.org/officeDocument/2006/relationships/hyperlink" Target="https://www.ncbi.nlm.nih.gov/pubmed/26045340" TargetMode="External"/><Relationship Id="rId56" Type="http://schemas.openxmlformats.org/officeDocument/2006/relationships/hyperlink" Target="https://www.ncbi.nlm.nih.gov/pubmed/26980471" TargetMode="External"/><Relationship Id="rId57" Type="http://schemas.openxmlformats.org/officeDocument/2006/relationships/hyperlink" Target="https://www.ncbi.nlm.nih.gov/pubmed/26301799" TargetMode="External"/><Relationship Id="rId58" Type="http://schemas.openxmlformats.org/officeDocument/2006/relationships/hyperlink" Target="https://www.ncbi.nlm.nih.gov/pubmed/15035987" TargetMode="External"/><Relationship Id="rId59" Type="http://schemas.openxmlformats.org/officeDocument/2006/relationships/hyperlink" Target="https://www.ncbi.nlm.nih.gov/pubmed/15488754" TargetMode="External"/><Relationship Id="rId60" Type="http://schemas.openxmlformats.org/officeDocument/2006/relationships/hyperlink" Target="https://www.ncbi.nlm.nih.gov/pubmed/25435214" TargetMode="External"/><Relationship Id="rId61" Type="http://schemas.openxmlformats.org/officeDocument/2006/relationships/hyperlink" Target="https://www.ncbi.nlm.nih.gov/pubmed/30899313" TargetMode="External"/><Relationship Id="rId62" Type="http://schemas.openxmlformats.org/officeDocument/2006/relationships/hyperlink" Target="https://www.ncbi.nlm.nih.gov/pubmed/29540830" TargetMode="External"/><Relationship Id="rId63" Type="http://schemas.openxmlformats.org/officeDocument/2006/relationships/hyperlink" Target="https://www.ncbi.nlm.nih.gov/pubmed/29438093" TargetMode="External"/><Relationship Id="rId64" Type="http://schemas.openxmlformats.org/officeDocument/2006/relationships/hyperlink" Target="https://www.ncbi.nlm.nih.gov/pubmed/12068308" TargetMode="External"/><Relationship Id="rId65" Type="http://schemas.openxmlformats.org/officeDocument/2006/relationships/hyperlink" Target="https://www.ncbi.nlm.nih.gov/pubmed/23833300" TargetMode="External"/><Relationship Id="rId66" Type="http://schemas.openxmlformats.org/officeDocument/2006/relationships/hyperlink" Target="https://www.ncbi.nlm.nih.gov/pubmed/24552757" TargetMode="External"/><Relationship Id="rId67" Type="http://schemas.openxmlformats.org/officeDocument/2006/relationships/hyperlink" Target="https://www.ncbi.nlm.nih.gov/pubmed/25273224" TargetMode="External"/><Relationship Id="rId68" Type="http://schemas.openxmlformats.org/officeDocument/2006/relationships/hyperlink" Target="https://www.ncbi.nlm.nih.gov/pubmed/30464690" TargetMode="External"/><Relationship Id="rId69" Type="http://schemas.openxmlformats.org/officeDocument/2006/relationships/hyperlink" Target="https://www.ncbi.nlm.nih.gov/pubmed/21825258" TargetMode="External"/><Relationship Id="rId70" Type="http://schemas.openxmlformats.org/officeDocument/2006/relationships/hyperlink" Target="https://www.ncbi.nlm.nih.gov/pubmed/20496265" TargetMode="External"/><Relationship Id="rId71" Type="http://schemas.openxmlformats.org/officeDocument/2006/relationships/hyperlink" Target="https://www.ncbi.nlm.nih.gov/pubmed/21639808" TargetMode="External"/><Relationship Id="rId72" Type="http://schemas.openxmlformats.org/officeDocument/2006/relationships/hyperlink" Target="https://www.ncbi.nlm.nih.gov/pubmed/20818844" TargetMode="External"/><Relationship Id="rId73" Type="http://schemas.openxmlformats.org/officeDocument/2006/relationships/hyperlink" Target="https://www.ncbi.nlm.nih.gov/pubmed/22608338" TargetMode="External"/><Relationship Id="rId74" Type="http://schemas.openxmlformats.org/officeDocument/2006/relationships/hyperlink" Target="https://www.ncbi.nlm.nih.gov/pubmed/23918947" TargetMode="External"/><Relationship Id="rId75" Type="http://schemas.openxmlformats.org/officeDocument/2006/relationships/hyperlink" Target="https://www.ncbi.nlm.nih.gov/pubmed/22889973" TargetMode="External"/><Relationship Id="rId76" Type="http://schemas.openxmlformats.org/officeDocument/2006/relationships/hyperlink" Target="https://www.ncbi.nlm.nih.gov/pubmed/31715422" TargetMode="External"/><Relationship Id="rId77" Type="http://schemas.openxmlformats.org/officeDocument/2006/relationships/hyperlink" Target="https://www.ncbi.nlm.nih.gov/pubmed/22743296" TargetMode="External"/><Relationship Id="rId78" Type="http://schemas.openxmlformats.org/officeDocument/2006/relationships/hyperlink" Target="https://www.ncbi.nlm.nih.gov/pubmed/23733758" TargetMode="External"/><Relationship Id="rId79" Type="http://schemas.openxmlformats.org/officeDocument/2006/relationships/hyperlink" Target="https://www.ncbi.nlm.nih.gov/pubmed/24888229" TargetMode="External"/><Relationship Id="rId80" Type="http://schemas.openxmlformats.org/officeDocument/2006/relationships/hyperlink" Target="https://www.ncbi.nlm.nih.gov/pubmed/25466451" TargetMode="External"/><Relationship Id="rId81" Type="http://schemas.openxmlformats.org/officeDocument/2006/relationships/hyperlink" Target="https://www.ncbi.nlm.nih.gov/pubmed/23524406" TargetMode="External"/><Relationship Id="rId82" Type="http://schemas.openxmlformats.org/officeDocument/2006/relationships/hyperlink" Target="https://www.ncbi.nlm.nih.gov/pubmed/27080216" TargetMode="External"/><Relationship Id="rId83" Type="http://schemas.openxmlformats.org/officeDocument/2006/relationships/hyperlink" Target="https://www.ncbi.nlm.nih.gov/pubmed/27283860" TargetMode="External"/><Relationship Id="rId84" Type="http://schemas.openxmlformats.org/officeDocument/2006/relationships/hyperlink" Target="https://www.ncbi.nlm.nih.gov/pubmed/28919011" TargetMode="External"/><Relationship Id="rId85" Type="http://schemas.openxmlformats.org/officeDocument/2006/relationships/hyperlink" Target="https://www.ncbi.nlm.nih.gov/pubmed/29356698" TargetMode="External"/><Relationship Id="rId86" Type="http://schemas.openxmlformats.org/officeDocument/2006/relationships/hyperlink" Target="https://www.ncbi.nlm.nih.gov/pubmed/29573941" TargetMode="External"/><Relationship Id="rId87" Type="http://schemas.openxmlformats.org/officeDocument/2006/relationships/hyperlink" Target="https://www.ncbi.nlm.nih.gov/pubmed/28537004" TargetMode="External"/><Relationship Id="rId88" Type="http://schemas.openxmlformats.org/officeDocument/2006/relationships/hyperlink" Target="https://www.ncbi.nlm.nih.gov/pubmed/30219628" TargetMode="External"/><Relationship Id="rId89" Type="http://schemas.openxmlformats.org/officeDocument/2006/relationships/hyperlink" Target="https://www.ncbi.nlm.nih.gov/pubmed/26433819" TargetMode="External"/><Relationship Id="rId90" Type="http://schemas.openxmlformats.org/officeDocument/2006/relationships/hyperlink" Target="https://www.ncbi.nlm.nih.gov/pubmed/31580757" TargetMode="External"/><Relationship Id="rId91" Type="http://schemas.openxmlformats.org/officeDocument/2006/relationships/hyperlink" Target="https://www.ncbi.nlm.nih.gov/pubmed/32388065" TargetMode="External"/><Relationship Id="rId92" Type="http://schemas.openxmlformats.org/officeDocument/2006/relationships/hyperlink" Target="https://www.ncbi.nlm.nih.gov/pubmed/33125859" TargetMode="External"/><Relationship Id="rId93" Type="http://schemas.openxmlformats.org/officeDocument/2006/relationships/hyperlink" Target="https://www.ncbi.nlm.nih.gov/pubmed/32919526" TargetMode="External"/><Relationship Id="rId94" Type="http://schemas.openxmlformats.org/officeDocument/2006/relationships/hyperlink" Target="https://www.ncbi.nlm.nih.gov/pubmed/23636398" TargetMode="External"/><Relationship Id="rId95" Type="http://schemas.openxmlformats.org/officeDocument/2006/relationships/hyperlink" Target="https://www.ncbi.nlm.nih.gov/pubmed/26028255" TargetMode="External"/><Relationship Id="rId96" Type="http://schemas.openxmlformats.org/officeDocument/2006/relationships/hyperlink" Target="https://www.ncbi.nlm.nih.gov/pubmed/32213091" TargetMode="External"/><Relationship Id="rId97" Type="http://schemas.openxmlformats.org/officeDocument/2006/relationships/hyperlink" Target="https://www.ncbi.nlm.nih.gov/pubmed/26181000" TargetMode="External"/><Relationship Id="rId98" Type="http://schemas.openxmlformats.org/officeDocument/2006/relationships/hyperlink" Target="https://www.ncbi.nlm.nih.gov/pubmed/19078925" TargetMode="External"/><Relationship Id="rId99" Type="http://schemas.openxmlformats.org/officeDocument/2006/relationships/hyperlink" Target="https://www.ncbi.nlm.nih.gov/pubmed/25673086" TargetMode="External"/><Relationship Id="rId100" Type="http://schemas.openxmlformats.org/officeDocument/2006/relationships/hyperlink" Target="https://www.ncbi.nlm.nih.gov/pubmed/31956294" TargetMode="External"/><Relationship Id="rId101" Type="http://schemas.openxmlformats.org/officeDocument/2006/relationships/hyperlink" Target="https://www.ncbi.nlm.nih.gov/pubmed/31618962" TargetMode="External"/><Relationship Id="rId102" Type="http://schemas.openxmlformats.org/officeDocument/2006/relationships/hyperlink" Target="https://www.ncbi.nlm.nih.gov/pubmed/34630437" TargetMode="External"/><Relationship Id="rId103" Type="http://schemas.openxmlformats.org/officeDocument/2006/relationships/hyperlink" Target="https://www.ncbi.nlm.nih.gov/pubmed/30887763" TargetMode="External"/><Relationship Id="rId104" Type="http://schemas.openxmlformats.org/officeDocument/2006/relationships/hyperlink" Target="https://www.ncbi.nlm.nih.gov/pubmed/30787022" TargetMode="External"/><Relationship Id="rId105" Type="http://schemas.openxmlformats.org/officeDocument/2006/relationships/hyperlink" Target="https://www.ncbi.nlm.nih.gov/pubmed/28596308" TargetMode="External"/><Relationship Id="rId106" Type="http://schemas.openxmlformats.org/officeDocument/2006/relationships/hyperlink" Target="https://www.ncbi.nlm.nih.gov/pubmed/33516088" TargetMode="External"/><Relationship Id="rId107" Type="http://schemas.openxmlformats.org/officeDocument/2006/relationships/hyperlink" Target="https://www.ncbi.nlm.nih.gov/pubmed/34423229" TargetMode="External"/><Relationship Id="rId108" Type="http://schemas.openxmlformats.org/officeDocument/2006/relationships/hyperlink" Target="https://www.ncbi.nlm.nih.gov/pubmed/35274707" TargetMode="External"/><Relationship Id="rId109" Type="http://schemas.openxmlformats.org/officeDocument/2006/relationships/hyperlink" Target="https://www.ncbi.nlm.nih.gov/pubmed/33214570" TargetMode="External"/><Relationship Id="rId110" Type="http://schemas.openxmlformats.org/officeDocument/2006/relationships/hyperlink" Target="https://www.ncbi.nlm.nih.gov/pubmed/34740923" TargetMode="External"/><Relationship Id="rId111" Type="http://schemas.openxmlformats.org/officeDocument/2006/relationships/hyperlink" Target="https://www.ncbi.nlm.nih.gov/pubmed/33149131" TargetMode="External"/><Relationship Id="rId112" Type="http://schemas.openxmlformats.org/officeDocument/2006/relationships/hyperlink" Target="https://www.ncbi.nlm.nih.gov/pubmed/31362850" TargetMode="External"/><Relationship Id="rId113" Type="http://schemas.openxmlformats.org/officeDocument/2006/relationships/hyperlink" Target="https://www.ncbi.nlm.nih.gov/pubmed/34021944" TargetMode="External"/><Relationship Id="rId114" Type="http://schemas.openxmlformats.org/officeDocument/2006/relationships/hyperlink" Target="https://www.ncbi.nlm.nih.gov/pubmed/33630412" TargetMode="External"/><Relationship Id="rId115" Type="http://schemas.openxmlformats.org/officeDocument/2006/relationships/hyperlink" Target="https://www.ncbi.nlm.nih.gov/pubmed/35228986" TargetMode="External"/><Relationship Id="rId116" Type="http://schemas.openxmlformats.org/officeDocument/2006/relationships/hyperlink" Target="https://www.ncbi.nlm.nih.gov/pubmed/34203281" TargetMode="External"/><Relationship Id="rId117" Type="http://schemas.openxmlformats.org/officeDocument/2006/relationships/hyperlink" Target="https://www.ncbi.nlm.nih.gov/pubmed/18259690" TargetMode="External"/><Relationship Id="rId118" Type="http://schemas.openxmlformats.org/officeDocument/2006/relationships/hyperlink" Target="https://www.ncbi.nlm.nih.gov/pubmed/9130710" TargetMode="External"/><Relationship Id="rId119" Type="http://schemas.openxmlformats.org/officeDocument/2006/relationships/hyperlink" Target="https://www.ncbi.nlm.nih.gov/pubmed/12620236" TargetMode="External"/><Relationship Id="rId120" Type="http://schemas.openxmlformats.org/officeDocument/2006/relationships/hyperlink" Target="https://www.ncbi.nlm.nih.gov/pubmed/11252954" TargetMode="External"/><Relationship Id="rId121" Type="http://schemas.openxmlformats.org/officeDocument/2006/relationships/hyperlink" Target="https://www.ncbi.nlm.nih.gov/pubmed/17000658" TargetMode="External"/><Relationship Id="rId122" Type="http://schemas.openxmlformats.org/officeDocument/2006/relationships/hyperlink" Target="https://www.ncbi.nlm.nih.gov/pubmed/27158780" TargetMode="External"/><Relationship Id="rId123" Type="http://schemas.openxmlformats.org/officeDocument/2006/relationships/hyperlink" Target="https://www.ncbi.nlm.nih.gov/pubmed/29337640" TargetMode="External"/><Relationship Id="rId124" Type="http://schemas.openxmlformats.org/officeDocument/2006/relationships/hyperlink" Target="https://www.ncbi.nlm.nih.gov/pubmed/25079552" TargetMode="External"/><Relationship Id="rId125" Type="http://schemas.openxmlformats.org/officeDocument/2006/relationships/hyperlink" Target="https://www.ncbi.nlm.nih.gov/pubmed/28336552" TargetMode="External"/><Relationship Id="rId126" Type="http://schemas.openxmlformats.org/officeDocument/2006/relationships/hyperlink" Target="https://www.ncbi.nlm.nih.gov/pubmed/32109716" TargetMode="External"/><Relationship Id="rId127" Type="http://schemas.openxmlformats.org/officeDocument/2006/relationships/hyperlink" Target="https://www.ncbi.nlm.nih.gov/pubmed/34561632" TargetMode="External"/><Relationship Id="rId128" Type="http://schemas.openxmlformats.org/officeDocument/2006/relationships/hyperlink" Target="https://www.ncbi.nlm.nih.gov/pubmed/15457249" TargetMode="External"/><Relationship Id="rId129" Type="http://schemas.openxmlformats.org/officeDocument/2006/relationships/hyperlink" Target="https://www.ncbi.nlm.nih.gov/pubmed/23610105" TargetMode="External"/><Relationship Id="rId130" Type="http://schemas.openxmlformats.org/officeDocument/2006/relationships/hyperlink" Target="https://www.ncbi.nlm.nih.gov/pubmed/22761469" TargetMode="External"/><Relationship Id="rId131" Type="http://schemas.openxmlformats.org/officeDocument/2006/relationships/hyperlink" Target="https://www.ncbi.nlm.nih.gov/pubmed/28743157" TargetMode="External"/><Relationship Id="rId132" Type="http://schemas.openxmlformats.org/officeDocument/2006/relationships/hyperlink" Target="https://www.ncbi.nlm.nih.gov/pubmed/31469421" TargetMode="External"/><Relationship Id="rId133" Type="http://schemas.openxmlformats.org/officeDocument/2006/relationships/hyperlink" Target="https://www.ncbi.nlm.nih.gov/pubmed/24887180" TargetMode="External"/><Relationship Id="rId134" Type="http://schemas.openxmlformats.org/officeDocument/2006/relationships/hyperlink" Target="https://www.ncbi.nlm.nih.gov/pubmed/25082874" TargetMode="External"/><Relationship Id="rId135" Type="http://schemas.openxmlformats.org/officeDocument/2006/relationships/hyperlink" Target="https://www.ncbi.nlm.nih.gov/pubmed/29989854" TargetMode="External"/><Relationship Id="rId136" Type="http://schemas.openxmlformats.org/officeDocument/2006/relationships/hyperlink" Target="https://www.ncbi.nlm.nih.gov/pubmed/31563805" TargetMode="External"/><Relationship Id="rId137" Type="http://schemas.openxmlformats.org/officeDocument/2006/relationships/hyperlink" Target="https://www.ncbi.nlm.nih.gov/pubmed/34534430" TargetMode="External"/><Relationship Id="rId138" Type="http://schemas.openxmlformats.org/officeDocument/2006/relationships/hyperlink" Target="https://www.ncbi.nlm.nih.gov/pubmed/16775247" TargetMode="External"/><Relationship Id="rId139" Type="http://schemas.openxmlformats.org/officeDocument/2006/relationships/hyperlink" Target="https://www.ncbi.nlm.nih.gov/pubmed/33687763" TargetMode="External"/><Relationship Id="rId140" Type="http://schemas.openxmlformats.org/officeDocument/2006/relationships/hyperlink" Target="https://www.ncbi.nlm.nih.gov/pubmed/32764980" TargetMode="External"/><Relationship Id="rId141" Type="http://schemas.openxmlformats.org/officeDocument/2006/relationships/hyperlink" Target="https://www.ncbi.nlm.nih.gov/pubmed/28807052" TargetMode="External"/><Relationship Id="rId142" Type="http://schemas.openxmlformats.org/officeDocument/2006/relationships/hyperlink" Target="https://www.ncbi.nlm.nih.gov/pubmed/35671201" TargetMode="External"/><Relationship Id="rId143" Type="http://schemas.openxmlformats.org/officeDocument/2006/relationships/hyperlink" Target="https://www.ncbi.nlm.nih.gov/pubmed/30911265" TargetMode="External"/><Relationship Id="rId144" Type="http://schemas.openxmlformats.org/officeDocument/2006/relationships/hyperlink" Target="https://www.ncbi.nlm.nih.gov/pubmed/36016731" TargetMode="External"/><Relationship Id="rId145" Type="http://schemas.openxmlformats.org/officeDocument/2006/relationships/hyperlink" Target="https://www.ncbi.nlm.nih.gov/pubmed/35276342" TargetMode="External"/><Relationship Id="rId146" Type="http://schemas.openxmlformats.org/officeDocument/2006/relationships/hyperlink" Target="https://www.ncbi.nlm.nih.gov/pubmed/32396674" TargetMode="External"/><Relationship Id="rId147" Type="http://schemas.openxmlformats.org/officeDocument/2006/relationships/hyperlink" Target="https://www.ncbi.nlm.nih.gov/pubmed/34230008" TargetMode="External"/><Relationship Id="rId148" Type="http://schemas.openxmlformats.org/officeDocument/2006/relationships/hyperlink" Target="https://www.ncbi.nlm.nih.gov/pubmed/23493883" TargetMode="External"/><Relationship Id="rId149" Type="http://schemas.openxmlformats.org/officeDocument/2006/relationships/hyperlink" Target="https://www.ncbi.nlm.nih.gov/pubmed/18408761" TargetMode="External"/><Relationship Id="rId150" Type="http://schemas.openxmlformats.org/officeDocument/2006/relationships/hyperlink" Target="https://www.ncbi.nlm.nih.gov/pubmed/28149837" TargetMode="External"/><Relationship Id="rId151" Type="http://schemas.openxmlformats.org/officeDocument/2006/relationships/hyperlink" Target="https://www.ncbi.nlm.nih.gov/pubmed/34638411" TargetMode="External"/><Relationship Id="rId152" Type="http://schemas.openxmlformats.org/officeDocument/2006/relationships/hyperlink" Target="https://www.ncbi.nlm.nih.gov/pubmed/23470965" TargetMode="External"/><Relationship Id="rId153" Type="http://schemas.openxmlformats.org/officeDocument/2006/relationships/hyperlink" Target="https://www.ncbi.nlm.nih.gov/pubmed/33256089" TargetMode="External"/><Relationship Id="rId154" Type="http://schemas.openxmlformats.org/officeDocument/2006/relationships/hyperlink" Target="https://www.ncbi.nlm.nih.gov/pubmed/34184561" TargetMode="External"/><Relationship Id="rId155" Type="http://schemas.openxmlformats.org/officeDocument/2006/relationships/hyperlink" Target="https://www.ncbi.nlm.nih.gov/pubmed/33401585" TargetMode="External"/><Relationship Id="rId156" Type="http://schemas.openxmlformats.org/officeDocument/2006/relationships/hyperlink" Target="https://www.ncbi.nlm.nih.gov/pubmed/35101885" TargetMode="External"/><Relationship Id="rId157" Type="http://schemas.openxmlformats.org/officeDocument/2006/relationships/hyperlink" Target="https://www.ncbi.nlm.nih.gov/pubmed/34104805" TargetMode="External"/><Relationship Id="rId158" Type="http://schemas.openxmlformats.org/officeDocument/2006/relationships/hyperlink" Target="https://www.ncbi.nlm.nih.gov/pubmed/35062949" TargetMode="External"/><Relationship Id="rId159" Type="http://schemas.openxmlformats.org/officeDocument/2006/relationships/hyperlink" Target="https://www.ncbi.nlm.nih.gov/pubmed/31829747" TargetMode="External"/><Relationship Id="rId160" Type="http://schemas.openxmlformats.org/officeDocument/2006/relationships/hyperlink" Target="https://www.ncbi.nlm.nih.gov/pubmed/33427656" TargetMode="External"/><Relationship Id="rId161" Type="http://schemas.openxmlformats.org/officeDocument/2006/relationships/hyperlink" Target="https://www.ncbi.nlm.nih.gov/pubmed/35032007" TargetMode="External"/><Relationship Id="rId162" Type="http://schemas.openxmlformats.org/officeDocument/2006/relationships/hyperlink" Target="https://www.ncbi.nlm.nih.gov/pubmed/34956912" TargetMode="External"/><Relationship Id="rId163" Type="http://schemas.openxmlformats.org/officeDocument/2006/relationships/hyperlink" Target="https://www.ncbi.nlm.nih.gov/pubmed/35081747" TargetMode="External"/><Relationship Id="rId164" Type="http://schemas.openxmlformats.org/officeDocument/2006/relationships/hyperlink" Target="https://www.ncbi.nlm.nih.gov/pubmed/32534646" TargetMode="External"/><Relationship Id="rId165" Type="http://schemas.openxmlformats.org/officeDocument/2006/relationships/hyperlink" Target="https://www.ncbi.nlm.nih.gov/pubmed/35131452" TargetMode="External"/><Relationship Id="rId166" Type="http://schemas.openxmlformats.org/officeDocument/2006/relationships/hyperlink" Target="https://www.ncbi.nlm.nih.gov/pubmed/11970755" TargetMode="External"/><Relationship Id="rId167" Type="http://schemas.openxmlformats.org/officeDocument/2006/relationships/hyperlink" Target="https://www.ncbi.nlm.nih.gov/pubmed/25568148" TargetMode="External"/><Relationship Id="rId168" Type="http://schemas.openxmlformats.org/officeDocument/2006/relationships/hyperlink" Target="https://www.ncbi.nlm.nih.gov/pubmed/17212999" TargetMode="External"/><Relationship Id="rId169" Type="http://schemas.openxmlformats.org/officeDocument/2006/relationships/hyperlink" Target="https://www.ncbi.nlm.nih.gov/pubmed/19897538" TargetMode="External"/><Relationship Id="rId170" Type="http://schemas.openxmlformats.org/officeDocument/2006/relationships/hyperlink" Target="https://www.ncbi.nlm.nih.gov/pubmed/27748633" TargetMode="External"/><Relationship Id="rId171" Type="http://schemas.openxmlformats.org/officeDocument/2006/relationships/hyperlink" Target="https://www.ncbi.nlm.nih.gov/pubmed/15901587" TargetMode="External"/><Relationship Id="rId172" Type="http://schemas.openxmlformats.org/officeDocument/2006/relationships/hyperlink" Target="https://www.ncbi.nlm.nih.gov/pubmed/20061402" TargetMode="External"/><Relationship Id="rId173" Type="http://schemas.openxmlformats.org/officeDocument/2006/relationships/hyperlink" Target="https://www.ncbi.nlm.nih.gov/pubmed/24687829" TargetMode="External"/><Relationship Id="rId174" Type="http://schemas.openxmlformats.org/officeDocument/2006/relationships/hyperlink" Target="https://www.ncbi.nlm.nih.gov/pubmed/28438473" TargetMode="External"/><Relationship Id="rId175" Type="http://schemas.openxmlformats.org/officeDocument/2006/relationships/hyperlink" Target="https://www.ncbi.nlm.nih.gov/pubmed/32305099" TargetMode="External"/><Relationship Id="rId176" Type="http://schemas.openxmlformats.org/officeDocument/2006/relationships/hyperlink" Target="https://www.ncbi.nlm.nih.gov/pubmed/22204724" TargetMode="External"/><Relationship Id="rId177" Type="http://schemas.openxmlformats.org/officeDocument/2006/relationships/hyperlink" Target="https://www.ncbi.nlm.nih.gov/pubmed/31216226" TargetMode="External"/><Relationship Id="rId178" Type="http://schemas.openxmlformats.org/officeDocument/2006/relationships/hyperlink" Target="https://www.ncbi.nlm.nih.gov/pubmed/29863955" TargetMode="External"/><Relationship Id="rId179" Type="http://schemas.openxmlformats.org/officeDocument/2006/relationships/hyperlink" Target="https://www.ncbi.nlm.nih.gov/pubmed/34051880" TargetMode="External"/><Relationship Id="rId180" Type="http://schemas.openxmlformats.org/officeDocument/2006/relationships/hyperlink" Target="https://www.ncbi.nlm.nih.gov/pubmed/34189869" TargetMode="External"/><Relationship Id="rId181" Type="http://schemas.openxmlformats.org/officeDocument/2006/relationships/hyperlink" Target="https://www.ncbi.nlm.nih.gov/pubmed/34534429" TargetMode="External"/><Relationship Id="rId182" Type="http://schemas.openxmlformats.org/officeDocument/2006/relationships/hyperlink" Target="https://www.ncbi.nlm.nih.gov/pubmed/30075697" TargetMode="External"/><Relationship Id="rId183" Type="http://schemas.openxmlformats.org/officeDocument/2006/relationships/hyperlink" Target="https://www.ncbi.nlm.nih.gov/pubmed/33188892" TargetMode="External"/><Relationship Id="rId184" Type="http://schemas.openxmlformats.org/officeDocument/2006/relationships/hyperlink" Target="https://www.ncbi.nlm.nih.gov/pubmed/20197484" TargetMode="External"/><Relationship Id="rId185" Type="http://schemas.openxmlformats.org/officeDocument/2006/relationships/hyperlink" Target="https://www.ncbi.nlm.nih.gov/pubmed/31228284" TargetMode="External"/><Relationship Id="rId186" Type="http://schemas.openxmlformats.org/officeDocument/2006/relationships/hyperlink" Target="https://www.ncbi.nlm.nih.gov/pubmed/32793499" TargetMode="External"/><Relationship Id="rId187" Type="http://schemas.openxmlformats.org/officeDocument/2006/relationships/hyperlink" Target="https://www.ncbi.nlm.nih.gov/pubmed/32371296" TargetMode="External"/><Relationship Id="rId188" Type="http://schemas.openxmlformats.org/officeDocument/2006/relationships/hyperlink" Target="https://www.ncbi.nlm.nih.gov/pubmed/24094768" TargetMode="External"/><Relationship Id="rId189" Type="http://schemas.openxmlformats.org/officeDocument/2006/relationships/hyperlink" Target="https://www.ncbi.nlm.nih.gov/pubmed/25240821" TargetMode="External"/><Relationship Id="rId190" Type="http://schemas.openxmlformats.org/officeDocument/2006/relationships/hyperlink" Target="https://www.ncbi.nlm.nih.gov/pubmed/25877855" TargetMode="External"/><Relationship Id="rId191" Type="http://schemas.openxmlformats.org/officeDocument/2006/relationships/hyperlink" Target="https://www.ncbi.nlm.nih.gov/pubmed/31591063" TargetMode="External"/><Relationship Id="rId192" Type="http://schemas.openxmlformats.org/officeDocument/2006/relationships/hyperlink" Target="https://www.ncbi.nlm.nih.gov/pubmed/23803182" TargetMode="External"/><Relationship Id="rId193" Type="http://schemas.openxmlformats.org/officeDocument/2006/relationships/hyperlink" Target="https://www.ncbi.nlm.nih.gov/pubmed/23881668" TargetMode="External"/><Relationship Id="rId194" Type="http://schemas.openxmlformats.org/officeDocument/2006/relationships/hyperlink" Target="https://www.ncbi.nlm.nih.gov/pubmed/22735384" TargetMode="External"/><Relationship Id="rId195" Type="http://schemas.openxmlformats.org/officeDocument/2006/relationships/hyperlink" Target="https://www.ncbi.nlm.nih.gov/pubmed/24583796" TargetMode="External"/><Relationship Id="rId196" Type="http://schemas.openxmlformats.org/officeDocument/2006/relationships/hyperlink" Target="https://www.ncbi.nlm.nih.gov/pubmed/28475671" TargetMode="External"/><Relationship Id="rId197" Type="http://schemas.openxmlformats.org/officeDocument/2006/relationships/hyperlink" Target="https://www.ncbi.nlm.nih.gov/pubmed/28891408" TargetMode="External"/><Relationship Id="rId198" Type="http://schemas.openxmlformats.org/officeDocument/2006/relationships/hyperlink" Target="https://www.ncbi.nlm.nih.gov/pubmed/29072975" TargetMode="External"/><Relationship Id="rId199" Type="http://schemas.openxmlformats.org/officeDocument/2006/relationships/hyperlink" Target="https://www.ncbi.nlm.nih.gov/pubmed/22131348" TargetMode="External"/><Relationship Id="rId200" Type="http://schemas.openxmlformats.org/officeDocument/2006/relationships/hyperlink" Target="https://www.ncbi.nlm.nih.gov/pubmed/24265153" TargetMode="External"/><Relationship Id="rId201" Type="http://schemas.openxmlformats.org/officeDocument/2006/relationships/hyperlink" Target="https://www.ncbi.nlm.nih.gov/pubmed/24670642" TargetMode="External"/><Relationship Id="rId202" Type="http://schemas.openxmlformats.org/officeDocument/2006/relationships/hyperlink" Target="https://www.ncbi.nlm.nih.gov/pubmed/32368388" TargetMode="External"/><Relationship Id="rId203" Type="http://schemas.openxmlformats.org/officeDocument/2006/relationships/hyperlink" Target="https://www.ncbi.nlm.nih.gov/pubmed/33419275" TargetMode="External"/><Relationship Id="rId204" Type="http://schemas.openxmlformats.org/officeDocument/2006/relationships/hyperlink" Target="https://www.ncbi.nlm.nih.gov/pubmed/32956754" TargetMode="External"/><Relationship Id="rId205" Type="http://schemas.openxmlformats.org/officeDocument/2006/relationships/hyperlink" Target="https://www.ncbi.nlm.nih.gov/pubmed/5452114" TargetMode="External"/><Relationship Id="rId206" Type="http://schemas.openxmlformats.org/officeDocument/2006/relationships/hyperlink" Target="https://www.ncbi.nlm.nih.gov/pubmed/23846731" TargetMode="External"/><Relationship Id="rId207" Type="http://schemas.openxmlformats.org/officeDocument/2006/relationships/hyperlink" Target="https://www.ncbi.nlm.nih.gov/pubmed/22805292" TargetMode="External"/><Relationship Id="rId208" Type="http://schemas.openxmlformats.org/officeDocument/2006/relationships/hyperlink" Target="https://www.ncbi.nlm.nih.gov/pubmed/31249721" TargetMode="External"/><Relationship Id="rId209" Type="http://schemas.openxmlformats.org/officeDocument/2006/relationships/hyperlink" Target="https://www.ncbi.nlm.nih.gov/pubmed/26347206" TargetMode="External"/><Relationship Id="rId210" Type="http://schemas.openxmlformats.org/officeDocument/2006/relationships/hyperlink" Target="https://www.ncbi.nlm.nih.gov/pubmed/30690294" TargetMode="External"/><Relationship Id="rId211" Type="http://schemas.openxmlformats.org/officeDocument/2006/relationships/hyperlink" Target="https://www.ncbi.nlm.nih.gov/pubmed/22663011" TargetMode="External"/><Relationship Id="rId212" Type="http://schemas.openxmlformats.org/officeDocument/2006/relationships/hyperlink" Target="https://www.ncbi.nlm.nih.gov/pubmed/25265492" TargetMode="External"/><Relationship Id="rId213" Type="http://schemas.openxmlformats.org/officeDocument/2006/relationships/hyperlink" Target="https://www.ncbi.nlm.nih.gov/pubmed/23020132" TargetMode="External"/><Relationship Id="rId214" Type="http://schemas.openxmlformats.org/officeDocument/2006/relationships/hyperlink" Target="https://www.ncbi.nlm.nih.gov/pubmed/25452114" TargetMode="External"/><Relationship Id="rId215" Type="http://schemas.openxmlformats.org/officeDocument/2006/relationships/hyperlink" Target="https://www.ncbi.nlm.nih.gov/pubmed/33340965" TargetMode="External"/><Relationship Id="rId216" Type="http://schemas.openxmlformats.org/officeDocument/2006/relationships/hyperlink" Target="https://www.ncbi.nlm.nih.gov/pubmed/27028853" TargetMode="External"/><Relationship Id="rId217" Type="http://schemas.openxmlformats.org/officeDocument/2006/relationships/hyperlink" Target="https://www.ncbi.nlm.nih.gov/pubmed/22067401" TargetMode="External"/><Relationship Id="rId218" Type="http://schemas.openxmlformats.org/officeDocument/2006/relationships/hyperlink" Target="https://www.ncbi.nlm.nih.gov/pubmed/22256804" TargetMode="External"/><Relationship Id="rId219" Type="http://schemas.openxmlformats.org/officeDocument/2006/relationships/hyperlink" Target="https://www.ncbi.nlm.nih.gov/pubmed/20130576" TargetMode="External"/><Relationship Id="rId220" Type="http://schemas.openxmlformats.org/officeDocument/2006/relationships/hyperlink" Target="https://www.ncbi.nlm.nih.gov/pubmed/20179705" TargetMode="External"/><Relationship Id="rId221" Type="http://schemas.openxmlformats.org/officeDocument/2006/relationships/hyperlink" Target="https://www.ncbi.nlm.nih.gov/pubmed/25096067" TargetMode="External"/><Relationship Id="rId222" Type="http://schemas.openxmlformats.org/officeDocument/2006/relationships/hyperlink" Target="https://www.ncbi.nlm.nih.gov/pubmed/22356324" TargetMode="External"/><Relationship Id="rId223" Type="http://schemas.openxmlformats.org/officeDocument/2006/relationships/hyperlink" Target="https://www.ncbi.nlm.nih.gov/pubmed/29188284" TargetMode="External"/><Relationship Id="rId224" Type="http://schemas.openxmlformats.org/officeDocument/2006/relationships/hyperlink" Target="https://www.ncbi.nlm.nih.gov/pubmed/30120160" TargetMode="External"/><Relationship Id="rId225" Type="http://schemas.openxmlformats.org/officeDocument/2006/relationships/hyperlink" Target="https://www.ncbi.nlm.nih.gov/pubmed/25037139" TargetMode="External"/><Relationship Id="rId226" Type="http://schemas.openxmlformats.org/officeDocument/2006/relationships/hyperlink" Target="https://www.ncbi.nlm.nih.gov/pubmed/27480103" TargetMode="External"/><Relationship Id="rId227" Type="http://schemas.openxmlformats.org/officeDocument/2006/relationships/hyperlink" Target="https://www.ncbi.nlm.nih.gov/pubmed/25265494" TargetMode="External"/><Relationship Id="rId228" Type="http://schemas.openxmlformats.org/officeDocument/2006/relationships/hyperlink" Target="https://www.ncbi.nlm.nih.gov/pubmed/33604667" TargetMode="External"/><Relationship Id="rId229" Type="http://schemas.openxmlformats.org/officeDocument/2006/relationships/hyperlink" Target="https://www.ncbi.nlm.nih.gov/pubmed/33503393" TargetMode="External"/><Relationship Id="rId230" Type="http://schemas.openxmlformats.org/officeDocument/2006/relationships/hyperlink" Target="https://www.ncbi.nlm.nih.gov/pubmed/30892987" TargetMode="External"/><Relationship Id="rId231" Type="http://schemas.openxmlformats.org/officeDocument/2006/relationships/hyperlink" Target="https://www.ncbi.nlm.nih.gov/pubmed/31566309" TargetMode="External"/><Relationship Id="rId232" Type="http://schemas.openxmlformats.org/officeDocument/2006/relationships/hyperlink" Target="https://www.ncbi.nlm.nih.gov/pubmed/28363909" TargetMode="External"/><Relationship Id="rId233" Type="http://schemas.openxmlformats.org/officeDocument/2006/relationships/hyperlink" Target="https://www.ncbi.nlm.nih.gov/pubmed/33204026" TargetMode="External"/><Relationship Id="rId234" Type="http://schemas.openxmlformats.org/officeDocument/2006/relationships/hyperlink" Target="https://www.ncbi.nlm.nih.gov/pubmed/32249628" TargetMode="External"/><Relationship Id="rId235" Type="http://schemas.openxmlformats.org/officeDocument/2006/relationships/hyperlink" Target="https://www.ncbi.nlm.nih.gov/pubmed/30881167" TargetMode="External"/><Relationship Id="rId236" Type="http://schemas.openxmlformats.org/officeDocument/2006/relationships/hyperlink" Target="https://www.ncbi.nlm.nih.gov/pubmed/28983798" TargetMode="External"/><Relationship Id="rId237" Type="http://schemas.openxmlformats.org/officeDocument/2006/relationships/hyperlink" Target="https://www.ncbi.nlm.nih.gov/pubmed/26443686" TargetMode="External"/><Relationship Id="rId238" Type="http://schemas.openxmlformats.org/officeDocument/2006/relationships/hyperlink" Target="https://www.ncbi.nlm.nih.gov/pubmed/24528902" TargetMode="External"/><Relationship Id="rId239" Type="http://schemas.openxmlformats.org/officeDocument/2006/relationships/hyperlink" Target="https://www.ncbi.nlm.nih.gov/pubmed/30096012" TargetMode="External"/><Relationship Id="rId240" Type="http://schemas.openxmlformats.org/officeDocument/2006/relationships/hyperlink" Target="https://www.ncbi.nlm.nih.gov/pubmed/32296035" TargetMode="External"/><Relationship Id="rId241" Type="http://schemas.openxmlformats.org/officeDocument/2006/relationships/hyperlink" Target="https://www.ncbi.nlm.nih.gov/pubmed/25882396" TargetMode="External"/><Relationship Id="rId242" Type="http://schemas.openxmlformats.org/officeDocument/2006/relationships/hyperlink" Target="https://www.ncbi.nlm.nih.gov/pubmed/26377300" TargetMode="External"/><Relationship Id="rId243" Type="http://schemas.openxmlformats.org/officeDocument/2006/relationships/hyperlink" Target="https://www.ncbi.nlm.nih.gov/pubmed/20601446" TargetMode="External"/><Relationship Id="rId244" Type="http://schemas.openxmlformats.org/officeDocument/2006/relationships/hyperlink" Target="https://www.ncbi.nlm.nih.gov/pubmed/32933335" TargetMode="External"/><Relationship Id="rId245" Type="http://schemas.openxmlformats.org/officeDocument/2006/relationships/hyperlink" Target="https://www.ncbi.nlm.nih.gov/pubmed/31352604" TargetMode="External"/><Relationship Id="rId246" Type="http://schemas.openxmlformats.org/officeDocument/2006/relationships/hyperlink" Target="https://www.ncbi.nlm.nih.gov/pubmed/31693429" TargetMode="External"/><Relationship Id="rId247" Type="http://schemas.openxmlformats.org/officeDocument/2006/relationships/hyperlink" Target="https://www.ncbi.nlm.nih.gov/pubmed/29856685" TargetMode="External"/><Relationship Id="rId248" Type="http://schemas.openxmlformats.org/officeDocument/2006/relationships/hyperlink" Target="https://www.ncbi.nlm.nih.gov/pubmed/34606378" TargetMode="External"/><Relationship Id="rId249" Type="http://schemas.openxmlformats.org/officeDocument/2006/relationships/hyperlink" Target="https://www.ncbi.nlm.nih.gov/pubmed/30218345" TargetMode="External"/><Relationship Id="rId250" Type="http://schemas.openxmlformats.org/officeDocument/2006/relationships/hyperlink" Target="https://www.ncbi.nlm.nih.gov/pubmed/31616627" TargetMode="External"/><Relationship Id="rId251" Type="http://schemas.openxmlformats.org/officeDocument/2006/relationships/hyperlink" Target="https://www.ncbi.nlm.nih.gov/pubmed/16336752" TargetMode="External"/><Relationship Id="rId252" Type="http://schemas.openxmlformats.org/officeDocument/2006/relationships/hyperlink" Target="https://www.ncbi.nlm.nih.gov/pubmed/15821783" TargetMode="External"/><Relationship Id="rId253" Type="http://schemas.openxmlformats.org/officeDocument/2006/relationships/hyperlink" Target="https://www.ncbi.nlm.nih.gov/pubmed/33237690" TargetMode="External"/><Relationship Id="rId254" Type="http://schemas.openxmlformats.org/officeDocument/2006/relationships/hyperlink" Target="https://www.ncbi.nlm.nih.gov/pubmed/33833048" TargetMode="External"/><Relationship Id="rId255" Type="http://schemas.openxmlformats.org/officeDocument/2006/relationships/hyperlink" Target="https://www.ncbi.nlm.nih.gov/pubmed/33154570" TargetMode="External"/><Relationship Id="rId256" Type="http://schemas.openxmlformats.org/officeDocument/2006/relationships/hyperlink" Target="https://www.ncbi.nlm.nih.gov/pubmed/34896698" TargetMode="External"/><Relationship Id="rId257" Type="http://schemas.openxmlformats.org/officeDocument/2006/relationships/hyperlink" Target="https://www.ncbi.nlm.nih.gov/pubmed/34482179" TargetMode="External"/><Relationship Id="rId258" Type="http://schemas.openxmlformats.org/officeDocument/2006/relationships/hyperlink" Target="https://www.ncbi.nlm.nih.gov/pubmed/34022697" TargetMode="External"/><Relationship Id="rId259" Type="http://schemas.openxmlformats.org/officeDocument/2006/relationships/hyperlink" Target="https://www.ncbi.nlm.nih.gov/pubmed/35260570" TargetMode="External"/><Relationship Id="rId260" Type="http://schemas.openxmlformats.org/officeDocument/2006/relationships/hyperlink" Target="https://www.ncbi.nlm.nih.gov/pubmed/34663410" TargetMode="External"/><Relationship Id="rId261" Type="http://schemas.openxmlformats.org/officeDocument/2006/relationships/hyperlink" Target="https://www.ncbi.nlm.nih.gov/pubmed/21596817" TargetMode="External"/><Relationship Id="rId262" Type="http://schemas.openxmlformats.org/officeDocument/2006/relationships/hyperlink" Target="https://www.ncbi.nlm.nih.gov/pubmed/34152568" TargetMode="External"/><Relationship Id="rId263" Type="http://schemas.openxmlformats.org/officeDocument/2006/relationships/hyperlink" Target="https://www.ncbi.nlm.nih.gov/pubmed/34533973" TargetMode="External"/><Relationship Id="rId264" Type="http://schemas.openxmlformats.org/officeDocument/2006/relationships/hyperlink" Target="https://www.ncbi.nlm.nih.gov/pubmed/29080924" TargetMode="External"/><Relationship Id="rId265" Type="http://schemas.openxmlformats.org/officeDocument/2006/relationships/hyperlink" Target="https://www.ncbi.nlm.nih.gov/pubmed/24718886" TargetMode="External"/><Relationship Id="rId266" Type="http://schemas.openxmlformats.org/officeDocument/2006/relationships/hyperlink" Target="https://www.ncbi.nlm.nih.gov/pubmed/24739896" TargetMode="External"/><Relationship Id="rId267" Type="http://schemas.openxmlformats.org/officeDocument/2006/relationships/hyperlink" Target="https://www.ncbi.nlm.nih.gov/pubmed/29488071" TargetMode="External"/><Relationship Id="rId268" Type="http://schemas.openxmlformats.org/officeDocument/2006/relationships/hyperlink" Target="https://www.ncbi.nlm.nih.gov/pubmed/22315332" TargetMode="External"/><Relationship Id="rId269" Type="http://schemas.openxmlformats.org/officeDocument/2006/relationships/hyperlink" Target="https://www.ncbi.nlm.nih.gov/pubmed/29401002" TargetMode="External"/><Relationship Id="rId270" Type="http://schemas.openxmlformats.org/officeDocument/2006/relationships/hyperlink" Target="https://www.ncbi.nlm.nih.gov/pubmed/33246021" TargetMode="External"/><Relationship Id="rId271" Type="http://schemas.openxmlformats.org/officeDocument/2006/relationships/hyperlink" Target="https://www.ncbi.nlm.nih.gov/pubmed/33707948" TargetMode="External"/><Relationship Id="rId272" Type="http://schemas.openxmlformats.org/officeDocument/2006/relationships/hyperlink" Target="https://www.ncbi.nlm.nih.gov/pubmed/33575071" TargetMode="External"/><Relationship Id="rId273" Type="http://schemas.openxmlformats.org/officeDocument/2006/relationships/hyperlink" Target="https://www.ncbi.nlm.nih.gov/pubmed/33245164" TargetMode="External"/><Relationship Id="rId274" Type="http://schemas.openxmlformats.org/officeDocument/2006/relationships/hyperlink" Target="https://www.ncbi.nlm.nih.gov/pubmed/15018596" TargetMode="External"/><Relationship Id="rId275" Type="http://schemas.openxmlformats.org/officeDocument/2006/relationships/hyperlink" Target="https://www.ncbi.nlm.nih.gov/pubmed/25457991" TargetMode="External"/><Relationship Id="rId276" Type="http://schemas.openxmlformats.org/officeDocument/2006/relationships/hyperlink" Target="https://www.ncbi.nlm.nih.gov/pubmed/32855207" TargetMode="External"/><Relationship Id="rId277" Type="http://schemas.openxmlformats.org/officeDocument/2006/relationships/hyperlink" Target="https://www.ncbi.nlm.nih.gov/pubmed/14555500" TargetMode="External"/><Relationship Id="rId278" Type="http://schemas.openxmlformats.org/officeDocument/2006/relationships/hyperlink" Target="https://www.ncbi.nlm.nih.gov/pubmed/27908454" TargetMode="External"/><Relationship Id="rId279" Type="http://schemas.openxmlformats.org/officeDocument/2006/relationships/hyperlink" Target="https://www.ncbi.nlm.nih.gov/pubmed/26947331" TargetMode="External"/><Relationship Id="rId280" Type="http://schemas.openxmlformats.org/officeDocument/2006/relationships/hyperlink" Target="https://www.ncbi.nlm.nih.gov/pubmed/28580882" TargetMode="External"/><Relationship Id="rId281" Type="http://schemas.openxmlformats.org/officeDocument/2006/relationships/hyperlink" Target="https://www.ncbi.nlm.nih.gov/pubmed/29860922" TargetMode="External"/><Relationship Id="rId282" Type="http://schemas.openxmlformats.org/officeDocument/2006/relationships/hyperlink" Target="https://www.ncbi.nlm.nih.gov/pubmed/20179227" TargetMode="External"/><Relationship Id="rId283" Type="http://schemas.openxmlformats.org/officeDocument/2006/relationships/hyperlink" Target="https://www.ncbi.nlm.nih.gov/pubmed/24283268" TargetMode="External"/><Relationship Id="rId284" Type="http://schemas.openxmlformats.org/officeDocument/2006/relationships/hyperlink" Target="https://www.ncbi.nlm.nih.gov/pubmed/26330617" TargetMode="External"/><Relationship Id="rId285" Type="http://schemas.openxmlformats.org/officeDocument/2006/relationships/hyperlink" Target="https://www.ncbi.nlm.nih.gov/pubmed/30554116" TargetMode="External"/><Relationship Id="rId286" Type="http://schemas.openxmlformats.org/officeDocument/2006/relationships/hyperlink" Target="https://www.ncbi.nlm.nih.gov/pubmed/30848427" TargetMode="External"/><Relationship Id="rId287" Type="http://schemas.openxmlformats.org/officeDocument/2006/relationships/hyperlink" Target="https://www.ncbi.nlm.nih.gov/pubmed/32770287" TargetMode="External"/><Relationship Id="rId288" Type="http://schemas.openxmlformats.org/officeDocument/2006/relationships/hyperlink" Target="https://www.ncbi.nlm.nih.gov/pubmed/18653228" TargetMode="External"/><Relationship Id="rId289" Type="http://schemas.openxmlformats.org/officeDocument/2006/relationships/hyperlink" Target="https://www.ncbi.nlm.nih.gov/pubmed/26703889" TargetMode="External"/><Relationship Id="rId290" Type="http://schemas.openxmlformats.org/officeDocument/2006/relationships/hyperlink" Target="https://www.ncbi.nlm.nih.gov/pubmed/29757017" TargetMode="External"/><Relationship Id="rId291" Type="http://schemas.openxmlformats.org/officeDocument/2006/relationships/hyperlink" Target="https://www.ncbi.nlm.nih.gov/pubmed/21047224" TargetMode="External"/><Relationship Id="rId292" Type="http://schemas.openxmlformats.org/officeDocument/2006/relationships/hyperlink" Target="https://www.ncbi.nlm.nih.gov/pubmed/23325902" TargetMode="External"/><Relationship Id="rId293" Type="http://schemas.openxmlformats.org/officeDocument/2006/relationships/hyperlink" Target="https://www.ncbi.nlm.nih.gov/pubmed/30169322" TargetMode="External"/><Relationship Id="rId294" Type="http://schemas.openxmlformats.org/officeDocument/2006/relationships/hyperlink" Target="https://www.ncbi.nlm.nih.gov/pubmed/22149876" TargetMode="External"/><Relationship Id="rId295" Type="http://schemas.openxmlformats.org/officeDocument/2006/relationships/hyperlink" Target="https://www.ncbi.nlm.nih.gov/pubmed/26482279" TargetMode="External"/><Relationship Id="rId296" Type="http://schemas.openxmlformats.org/officeDocument/2006/relationships/hyperlink" Target="https://www.ncbi.nlm.nih.gov/pubmed/32020516" TargetMode="External"/><Relationship Id="rId297" Type="http://schemas.openxmlformats.org/officeDocument/2006/relationships/hyperlink" Target="https://www.ncbi.nlm.nih.gov/pubmed/31267758" TargetMode="External"/><Relationship Id="rId298" Type="http://schemas.openxmlformats.org/officeDocument/2006/relationships/hyperlink" Target="https://www.ncbi.nlm.nih.gov/pubmed/29895527" TargetMode="External"/><Relationship Id="rId299" Type="http://schemas.openxmlformats.org/officeDocument/2006/relationships/hyperlink" Target="https://www.ncbi.nlm.nih.gov/pubmed/14513432" TargetMode="External"/><Relationship Id="rId300" Type="http://schemas.openxmlformats.org/officeDocument/2006/relationships/hyperlink" Target="https://www.ncbi.nlm.nih.gov/pubmed/24367167" TargetMode="External"/><Relationship Id="rId301" Type="http://schemas.openxmlformats.org/officeDocument/2006/relationships/hyperlink" Target="https://www.ncbi.nlm.nih.gov/pubmed/32700026" TargetMode="External"/><Relationship Id="rId302" Type="http://schemas.openxmlformats.org/officeDocument/2006/relationships/hyperlink" Target="https://www.ncbi.nlm.nih.gov/pubmed/31235695" TargetMode="External"/><Relationship Id="rId303" Type="http://schemas.openxmlformats.org/officeDocument/2006/relationships/hyperlink" Target="https://www.ncbi.nlm.nih.gov/pubmed/10735887" TargetMode="External"/><Relationship Id="rId304" Type="http://schemas.openxmlformats.org/officeDocument/2006/relationships/hyperlink" Target="https://www.ncbi.nlm.nih.gov/pubmed/15014181" TargetMode="External"/><Relationship Id="rId305" Type="http://schemas.openxmlformats.org/officeDocument/2006/relationships/hyperlink" Target="https://www.ncbi.nlm.nih.gov/pubmed/17307102" TargetMode="External"/><Relationship Id="rId306" Type="http://schemas.openxmlformats.org/officeDocument/2006/relationships/hyperlink" Target="https://www.ncbi.nlm.nih.gov/pubmed/25810012" TargetMode="External"/><Relationship Id="rId307" Type="http://schemas.openxmlformats.org/officeDocument/2006/relationships/hyperlink" Target="https://www.ncbi.nlm.nih.gov/pubmed/26064072" TargetMode="External"/><Relationship Id="rId308" Type="http://schemas.openxmlformats.org/officeDocument/2006/relationships/hyperlink" Target="https://www.ncbi.nlm.nih.gov/pubmed/29116433" TargetMode="External"/><Relationship Id="rId309" Type="http://schemas.openxmlformats.org/officeDocument/2006/relationships/hyperlink" Target="https://www.ncbi.nlm.nih.gov/pubmed/34262612" TargetMode="External"/><Relationship Id="rId310" Type="http://schemas.openxmlformats.org/officeDocument/2006/relationships/hyperlink" Target="https://www.ncbi.nlm.nih.gov/pubmed/28323504" TargetMode="External"/><Relationship Id="rId311" Type="http://schemas.openxmlformats.org/officeDocument/2006/relationships/hyperlink" Target="https://www.ncbi.nlm.nih.gov/pubmed/35364421" TargetMode="External"/><Relationship Id="rId312" Type="http://schemas.openxmlformats.org/officeDocument/2006/relationships/hyperlink" Target="https://www.ncbi.nlm.nih.gov/pubmed/33183120" TargetMode="External"/><Relationship Id="rId313" Type="http://schemas.openxmlformats.org/officeDocument/2006/relationships/hyperlink" Target="https://www.ncbi.nlm.nih.gov/pubmed/34083238" TargetMode="External"/><Relationship Id="rId314" Type="http://schemas.openxmlformats.org/officeDocument/2006/relationships/hyperlink" Target="https://www.ncbi.nlm.nih.gov/pubmed/32771306" TargetMode="External"/><Relationship Id="rId315" Type="http://schemas.openxmlformats.org/officeDocument/2006/relationships/hyperlink" Target="https://www.ncbi.nlm.nih.gov/pubmed/33846198" TargetMode="External"/><Relationship Id="rId316" Type="http://schemas.openxmlformats.org/officeDocument/2006/relationships/hyperlink" Target="https://www.ncbi.nlm.nih.gov/pubmed/29360728" TargetMode="External"/><Relationship Id="rId317" Type="http://schemas.openxmlformats.org/officeDocument/2006/relationships/hyperlink" Target="https://www.ncbi.nlm.nih.gov/pubmed/28187290" TargetMode="External"/><Relationship Id="rId318" Type="http://schemas.openxmlformats.org/officeDocument/2006/relationships/hyperlink" Target="https://www.ncbi.nlm.nih.gov/pubmed/32000802" TargetMode="External"/><Relationship Id="rId319" Type="http://schemas.openxmlformats.org/officeDocument/2006/relationships/hyperlink" Target="https://www.ncbi.nlm.nih.gov/pubmed/34461272" TargetMode="External"/><Relationship Id="rId320" Type="http://schemas.openxmlformats.org/officeDocument/2006/relationships/hyperlink" Target="https://www.ncbi.nlm.nih.gov/pubmed/28407031" TargetMode="External"/><Relationship Id="rId321" Type="http://schemas.openxmlformats.org/officeDocument/2006/relationships/hyperlink" Target="https://www.ncbi.nlm.nih.gov/pubmed/35015593" TargetMode="External"/><Relationship Id="rId322" Type="http://schemas.openxmlformats.org/officeDocument/2006/relationships/hyperlink" Target="https://www.ncbi.nlm.nih.gov/pubmed/33839438" TargetMode="External"/><Relationship Id="rId323" Type="http://schemas.openxmlformats.org/officeDocument/2006/relationships/hyperlink" Target="https://www.ncbi.nlm.nih.gov/pubmed/33206587" TargetMode="External"/><Relationship Id="rId324" Type="http://schemas.openxmlformats.org/officeDocument/2006/relationships/hyperlink" Target="https://www.ncbi.nlm.nih.gov/pubmed/28375787" TargetMode="External"/><Relationship Id="rId325" Type="http://schemas.openxmlformats.org/officeDocument/2006/relationships/hyperlink" Target="https://www.ncbi.nlm.nih.gov/pubmed/29217288" TargetMode="External"/><Relationship Id="rId326" Type="http://schemas.openxmlformats.org/officeDocument/2006/relationships/hyperlink" Target="https://www.ncbi.nlm.nih.gov/pubmed/30779531" TargetMode="External"/><Relationship Id="rId327" Type="http://schemas.openxmlformats.org/officeDocument/2006/relationships/hyperlink" Target="https://www.ncbi.nlm.nih.gov/pubmed/32339648" TargetMode="External"/><Relationship Id="rId328" Type="http://schemas.openxmlformats.org/officeDocument/2006/relationships/hyperlink" Target="https://www.ncbi.nlm.nih.gov/pubmed/34715570" TargetMode="External"/><Relationship Id="rId329" Type="http://schemas.openxmlformats.org/officeDocument/2006/relationships/hyperlink" Target="https://www.ncbi.nlm.nih.gov/pubmed/34301810" TargetMode="External"/><Relationship Id="rId330" Type="http://schemas.openxmlformats.org/officeDocument/2006/relationships/hyperlink" Target="https://www.ncbi.nlm.nih.gov/pubmed/27592805" TargetMode="External"/><Relationship Id="rId331" Type="http://schemas.openxmlformats.org/officeDocument/2006/relationships/hyperlink" Target="https://www.ncbi.nlm.nih.gov/pubmed/25616434" TargetMode="External"/><Relationship Id="rId332" Type="http://schemas.openxmlformats.org/officeDocument/2006/relationships/hyperlink" Target="https://www.ncbi.nlm.nih.gov/pubmed/25757679" TargetMode="External"/><Relationship Id="rId333" Type="http://schemas.openxmlformats.org/officeDocument/2006/relationships/hyperlink" Target="https://www.ncbi.nlm.nih.gov/pubmed/30691122" TargetMode="External"/><Relationship Id="rId334" Type="http://schemas.openxmlformats.org/officeDocument/2006/relationships/hyperlink" Target="https://www.ncbi.nlm.nih.gov/pubmed/32782491" TargetMode="External"/><Relationship Id="rId335" Type="http://schemas.openxmlformats.org/officeDocument/2006/relationships/hyperlink" Target="https://www.ncbi.nlm.nih.gov/pubmed/30177437" TargetMode="External"/><Relationship Id="rId336" Type="http://schemas.openxmlformats.org/officeDocument/2006/relationships/hyperlink" Target="https://www.ncbi.nlm.nih.gov/pubmed/31538027" TargetMode="External"/><Relationship Id="rId337" Type="http://schemas.openxmlformats.org/officeDocument/2006/relationships/hyperlink" Target="https://www.ncbi.nlm.nih.gov/pubmed/34552338" TargetMode="External"/><Relationship Id="rId338" Type="http://schemas.openxmlformats.org/officeDocument/2006/relationships/hyperlink" Target="https://www.ncbi.nlm.nih.gov/pubmed/33017510" TargetMode="External"/><Relationship Id="rId339" Type="http://schemas.openxmlformats.org/officeDocument/2006/relationships/hyperlink" Target="https://www.ncbi.nlm.nih.gov/pubmed/34081848" TargetMode="External"/><Relationship Id="rId340" Type="http://schemas.openxmlformats.org/officeDocument/2006/relationships/hyperlink" Target="https://www.ncbi.nlm.nih.gov/pubmed/32343890" TargetMode="External"/><Relationship Id="rId341" Type="http://schemas.openxmlformats.org/officeDocument/2006/relationships/hyperlink" Target="https://www.ncbi.nlm.nih.gov/pubmed/31851799" TargetMode="External"/><Relationship Id="rId342" Type="http://schemas.openxmlformats.org/officeDocument/2006/relationships/hyperlink" Target="https://www.ncbi.nlm.nih.gov/pubmed/25761096" TargetMode="External"/><Relationship Id="rId343" Type="http://schemas.openxmlformats.org/officeDocument/2006/relationships/hyperlink" Target="https://www.ncbi.nlm.nih.gov/pubmed/28474297" TargetMode="External"/><Relationship Id="rId344" Type="http://schemas.openxmlformats.org/officeDocument/2006/relationships/hyperlink" Target="https://www.ncbi.nlm.nih.gov/pubmed/32172572" TargetMode="External"/><Relationship Id="rId345" Type="http://schemas.openxmlformats.org/officeDocument/2006/relationships/hyperlink" Target="https://www.ncbi.nlm.nih.gov/pubmed/34363200" TargetMode="External"/><Relationship Id="rId346" Type="http://schemas.openxmlformats.org/officeDocument/2006/relationships/hyperlink" Target="https://www.ncbi.nlm.nih.gov/pubmed/27717299" TargetMode="External"/><Relationship Id="rId347" Type="http://schemas.openxmlformats.org/officeDocument/2006/relationships/hyperlink" Target="https://www.ncbi.nlm.nih.gov/pubmed/30948273" TargetMode="External"/><Relationship Id="rId348" Type="http://schemas.openxmlformats.org/officeDocument/2006/relationships/hyperlink" Target="https://www.ncbi.nlm.nih.gov/pubmed/27002934" TargetMode="External"/><Relationship Id="rId349" Type="http://schemas.openxmlformats.org/officeDocument/2006/relationships/hyperlink" Target="https://www.ncbi.nlm.nih.gov/pubmed/34518297" TargetMode="External"/><Relationship Id="rId350" Type="http://schemas.openxmlformats.org/officeDocument/2006/relationships/hyperlink" Target="https://www.ncbi.nlm.nih.gov/pubmed/32086346" TargetMode="External"/><Relationship Id="rId351" Type="http://schemas.openxmlformats.org/officeDocument/2006/relationships/hyperlink" Target="https://www.ncbi.nlm.nih.gov/pubmed/28916367" TargetMode="External"/><Relationship Id="rId352" Type="http://schemas.openxmlformats.org/officeDocument/2006/relationships/hyperlink" Target="https://www.ncbi.nlm.nih.gov/pubmed/32359490" TargetMode="External"/><Relationship Id="rId353" Type="http://schemas.openxmlformats.org/officeDocument/2006/relationships/hyperlink" Target="https://www.ncbi.nlm.nih.gov/pubmed/32795228" TargetMode="External"/><Relationship Id="rId354" Type="http://schemas.openxmlformats.org/officeDocument/2006/relationships/hyperlink" Target="https://www.ncbi.nlm.nih.gov/pubmed/27614696" TargetMode="External"/><Relationship Id="rId355" Type="http://schemas.openxmlformats.org/officeDocument/2006/relationships/hyperlink" Target="https://www.ncbi.nlm.nih.gov/pubmed/32880196" TargetMode="External"/><Relationship Id="rId356" Type="http://schemas.openxmlformats.org/officeDocument/2006/relationships/hyperlink" Target="https://www.ncbi.nlm.nih.gov/pubmed/25799992" TargetMode="External"/><Relationship Id="rId357" Type="http://schemas.openxmlformats.org/officeDocument/2006/relationships/hyperlink" Target="https://www.ncbi.nlm.nih.gov/pubmed/34316715" TargetMode="External"/><Relationship Id="rId358" Type="http://schemas.openxmlformats.org/officeDocument/2006/relationships/hyperlink" Target="https://www.ncbi.nlm.nih.gov/pubmed/30714316" TargetMode="External"/><Relationship Id="rId359" Type="http://schemas.openxmlformats.org/officeDocument/2006/relationships/hyperlink" Target="https://www.ncbi.nlm.nih.gov/pubmed/29660759" TargetMode="External"/><Relationship Id="rId360" Type="http://schemas.openxmlformats.org/officeDocument/2006/relationships/hyperlink" Target="https://www.ncbi.nlm.nih.gov/pubmed/32122376" TargetMode="External"/><Relationship Id="rId361" Type="http://schemas.openxmlformats.org/officeDocument/2006/relationships/hyperlink" Target="https://www.ncbi.nlm.nih.gov/pubmed/32005279" TargetMode="External"/><Relationship Id="rId362" Type="http://schemas.openxmlformats.org/officeDocument/2006/relationships/hyperlink" Target="https://www.ncbi.nlm.nih.gov/pubmed/33629601" TargetMode="External"/><Relationship Id="rId363" Type="http://schemas.openxmlformats.org/officeDocument/2006/relationships/hyperlink" Target="https://www.ncbi.nlm.nih.gov/pubmed/33658846" TargetMode="External"/><Relationship Id="rId364" Type="http://schemas.openxmlformats.org/officeDocument/2006/relationships/hyperlink" Target="https://www.ncbi.nlm.nih.gov/pubmed/30241301" TargetMode="External"/><Relationship Id="rId365" Type="http://schemas.openxmlformats.org/officeDocument/2006/relationships/hyperlink" Target="https://www.ncbi.nlm.nih.gov/pubmed/16236735" TargetMode="External"/><Relationship Id="rId366" Type="http://schemas.openxmlformats.org/officeDocument/2006/relationships/hyperlink" Target="https://www.ncbi.nlm.nih.gov/pubmed/22471661" TargetMode="External"/><Relationship Id="rId367" Type="http://schemas.openxmlformats.org/officeDocument/2006/relationships/hyperlink" Target="https://www.ncbi.nlm.nih.gov/pubmed/12214266" TargetMode="External"/><Relationship Id="rId368" Type="http://schemas.openxmlformats.org/officeDocument/2006/relationships/hyperlink" Target="https://www.ncbi.nlm.nih.gov/pubmed/34016991" TargetMode="External"/><Relationship Id="rId369" Type="http://schemas.openxmlformats.org/officeDocument/2006/relationships/hyperlink" Target="https://www.ncbi.nlm.nih.gov/pubmed/24876102" TargetMode="External"/><Relationship Id="rId370" Type="http://schemas.openxmlformats.org/officeDocument/2006/relationships/hyperlink" Target="https://www.ncbi.nlm.nih.gov/pubmed/26276735" TargetMode="External"/><Relationship Id="rId371" Type="http://schemas.openxmlformats.org/officeDocument/2006/relationships/hyperlink" Target="https://www.ncbi.nlm.nih.gov/pubmed/28487443" TargetMode="External"/><Relationship Id="rId372" Type="http://schemas.openxmlformats.org/officeDocument/2006/relationships/hyperlink" Target="https://www.ncbi.nlm.nih.gov/pubmed/33480963" TargetMode="External"/><Relationship Id="rId373" Type="http://schemas.openxmlformats.org/officeDocument/2006/relationships/hyperlink" Target="https://www.ncbi.nlm.nih.gov/pubmed/30911337" TargetMode="External"/><Relationship Id="rId374" Type="http://schemas.openxmlformats.org/officeDocument/2006/relationships/hyperlink" Target="https://www.ncbi.nlm.nih.gov/pubmed/15173008" TargetMode="External"/><Relationship Id="rId375" Type="http://schemas.openxmlformats.org/officeDocument/2006/relationships/hyperlink" Target="https://www.ncbi.nlm.nih.gov/pubmed/12502359" TargetMode="External"/><Relationship Id="rId376" Type="http://schemas.openxmlformats.org/officeDocument/2006/relationships/hyperlink" Target="https://www.ncbi.nlm.nih.gov/pubmed/21487605" TargetMode="External"/><Relationship Id="rId377" Type="http://schemas.openxmlformats.org/officeDocument/2006/relationships/hyperlink" Target="https://www.ncbi.nlm.nih.gov/pubmed/28152547" TargetMode="External"/><Relationship Id="rId378" Type="http://schemas.openxmlformats.org/officeDocument/2006/relationships/hyperlink" Target="https://www.ncbi.nlm.nih.gov/pubmed/28053022" TargetMode="External"/><Relationship Id="rId379" Type="http://schemas.openxmlformats.org/officeDocument/2006/relationships/hyperlink" Target="https://www.ncbi.nlm.nih.gov/pubmed/32289275" TargetMode="External"/><Relationship Id="rId380" Type="http://schemas.openxmlformats.org/officeDocument/2006/relationships/hyperlink" Target="https://www.ncbi.nlm.nih.gov/pubmed/34407542" TargetMode="External"/><Relationship Id="rId381" Type="http://schemas.openxmlformats.org/officeDocument/2006/relationships/hyperlink" Target="https://www.ncbi.nlm.nih.gov/pubmed/28329763" TargetMode="External"/><Relationship Id="rId382" Type="http://schemas.openxmlformats.org/officeDocument/2006/relationships/hyperlink" Target="https://www.ncbi.nlm.nih.gov/pubmed/28819281" TargetMode="External"/><Relationship Id="rId383" Type="http://schemas.openxmlformats.org/officeDocument/2006/relationships/hyperlink" Target="https://www.ncbi.nlm.nih.gov/pubmed/31543464" TargetMode="External"/><Relationship Id="rId384" Type="http://schemas.openxmlformats.org/officeDocument/2006/relationships/hyperlink" Target="https://www.ncbi.nlm.nih.gov/pubmed/24420842" TargetMode="External"/><Relationship Id="rId385" Type="http://schemas.openxmlformats.org/officeDocument/2006/relationships/hyperlink" Target="https://www.ncbi.nlm.nih.gov/pubmed/31833784" TargetMode="External"/><Relationship Id="rId386" Type="http://schemas.openxmlformats.org/officeDocument/2006/relationships/hyperlink" Target="https://www.ncbi.nlm.nih.gov/pubmed/28032244" TargetMode="External"/><Relationship Id="rId387" Type="http://schemas.openxmlformats.org/officeDocument/2006/relationships/hyperlink" Target="https://www.ncbi.nlm.nih.gov/pubmed/31612105" TargetMode="External"/><Relationship Id="rId388" Type="http://schemas.openxmlformats.org/officeDocument/2006/relationships/hyperlink" Target="https://www.ncbi.nlm.nih.gov/pubmed/34002056" TargetMode="External"/><Relationship Id="rId389" Type="http://schemas.openxmlformats.org/officeDocument/2006/relationships/hyperlink" Target="https://www.ncbi.nlm.nih.gov/pubmed/34322383" TargetMode="External"/><Relationship Id="rId390" Type="http://schemas.openxmlformats.org/officeDocument/2006/relationships/hyperlink" Target="https://www.ncbi.nlm.nih.gov/pubmed/22207690" TargetMode="External"/><Relationship Id="rId391" Type="http://schemas.openxmlformats.org/officeDocument/2006/relationships/hyperlink" Target="https://www.ncbi.nlm.nih.gov/pubmed/23610618" TargetMode="External"/><Relationship Id="rId392" Type="http://schemas.openxmlformats.org/officeDocument/2006/relationships/hyperlink" Target="https://www.ncbi.nlm.nih.gov/pubmed/22942908" TargetMode="External"/><Relationship Id="rId393" Type="http://schemas.openxmlformats.org/officeDocument/2006/relationships/hyperlink" Target="https://www.ncbi.nlm.nih.gov/pubmed/16721371" TargetMode="External"/><Relationship Id="rId394" Type="http://schemas.openxmlformats.org/officeDocument/2006/relationships/hyperlink" Target="https://www.ncbi.nlm.nih.gov/pubmed/21419934" TargetMode="External"/><Relationship Id="rId395" Type="http://schemas.openxmlformats.org/officeDocument/2006/relationships/hyperlink" Target="https://www.ncbi.nlm.nih.gov/pubmed/19878872" TargetMode="External"/><Relationship Id="rId396" Type="http://schemas.openxmlformats.org/officeDocument/2006/relationships/hyperlink" Target="https://www.ncbi.nlm.nih.gov/pubmed/32145037" TargetMode="External"/><Relationship Id="rId397" Type="http://schemas.openxmlformats.org/officeDocument/2006/relationships/hyperlink" Target="https://www.ncbi.nlm.nih.gov/pubmed/29567798" TargetMode="External"/><Relationship Id="rId398" Type="http://schemas.openxmlformats.org/officeDocument/2006/relationships/hyperlink" Target="https://www.ncbi.nlm.nih.gov/pubmed/24180494" TargetMode="External"/><Relationship Id="rId399" Type="http://schemas.openxmlformats.org/officeDocument/2006/relationships/hyperlink" Target="https://www.ncbi.nlm.nih.gov/pubmed/28969556" TargetMode="External"/><Relationship Id="rId400" Type="http://schemas.openxmlformats.org/officeDocument/2006/relationships/hyperlink" Target="https://www.ncbi.nlm.nih.gov/pubmed/29411417" TargetMode="External"/><Relationship Id="rId401" Type="http://schemas.openxmlformats.org/officeDocument/2006/relationships/hyperlink" Target="https://www.ncbi.nlm.nih.gov/pubmed/25132497" TargetMode="External"/><Relationship Id="rId402" Type="http://schemas.openxmlformats.org/officeDocument/2006/relationships/hyperlink" Target="https://www.ncbi.nlm.nih.gov/pubmed/26603839" TargetMode="External"/><Relationship Id="rId403" Type="http://schemas.openxmlformats.org/officeDocument/2006/relationships/hyperlink" Target="https://clinicaltrials.gov/ct2/show/NCT04507919" TargetMode="External"/><Relationship Id="rId404" Type="http://schemas.openxmlformats.org/officeDocument/2006/relationships/hyperlink" Target="https://clinicaltrials.gov/ct2/show/NCT03839342" TargetMode="External"/><Relationship Id="rId405" Type="http://schemas.openxmlformats.org/officeDocument/2006/relationships/hyperlink" Target="https://clinicaltrials.gov/ct2/show/NCT02675829" TargetMode="External"/><Relationship Id="rId406" Type="http://schemas.openxmlformats.org/officeDocument/2006/relationships/hyperlink" Target="https://clinicaltrials.gov/ct2/show/NCT0350571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D4693A-AA7A-4781-9C01-BA9617AEF7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12715</TotalTime>
  <Pages>5</Pages>
  <Words>1307</Words>
  <Characters>7456</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Gabe F. Rudy</dc:creator>
  <cp:keywords/>
  <dc:description/>
  <cp:lastModifiedBy>Nathan Fortier</cp:lastModifiedBy>
  <cp:revision>65</cp:revision>
  <cp:lastPrinted>2019-03-25T20:13:00Z</cp:lastPrinted>
  <dcterms:created xsi:type="dcterms:W3CDTF">2022-07-30T14:20:00Z</dcterms:created>
  <dcterms:modified xsi:type="dcterms:W3CDTF">2022-12-20T18:27:00Z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d70110e0a7139c8a530ccd65656b82390e0e0d2b6e9247b0afea04a2614b4a05</vt:lpwstr>
  </property>
</Properties>
</file>