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single" w:sz="6" w:space="0" w:color="7F7F7F" w:themeColor="text1" w:themeTint="80"/>
          <w:left w:val="none" w:sz="0" w:space="0" w:color="auto"/>
          <w:bottom w:val="single" w:sz="6" w:space="0" w:color="7F7F7F" w:themeColor="text1" w:themeTint="80"/>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3596"/>
        <w:gridCol w:w="3597"/>
        <w:gridCol w:w="3597"/>
      </w:tblGrid>
      <w:tr w:rsidR="005A5570" w14:paraId="4FF103A7" w14:textId="77777777">
        <w:tc>
          <w:tcPr>
            <w:tcW w:w="3596" w:type="dxa"/>
            <w:shd w:val="clear" w:color="auto" w:fill="F2F2F2" w:themeFill="background1" w:themeFillShade="F2"/>
          </w:tcPr>
          <w:p w14:paraId="6DE78E4F" w14:textId="77777777" w:rsidR="005A5570" w:rsidRPr="00CA2C0B" w:rsidRDefault="005A5570" w:rsidP="005A5570">
            <w:pPr>
              <w:pStyle w:val="Heading2"/>
              <w:spacing w:before="0" w:after="120"/>
              <w:outlineLvl w:val="1"/>
              <w:rPr>
                <w:color w:val="7F7F7F" w:themeColor="text1" w:themeTint="80"/>
              </w:rPr>
            </w:pPr>
            <w:r>
              <w:rPr>
                <w:color w:val="7F7F7F" w:themeColor="text1" w:themeTint="80"/>
                <w:lang w:val="fr-FR"/>
              </w:rPr>
              <w:t/>
            </w:r>
            <w:r w:rsidRPr="00A820FA">
              <w:rPr>
                <w:color w:val="7F7F7F" w:themeColor="text1" w:themeTint="80"/>
                <w:lang w:val="fr-FR"/>
              </w:rPr>
              <w:t xml:space="preserve">Patient Information</w:t>
            </w:r>
          </w:p>
          <w:p w14:paraId="674B5D3D" w14:textId="77777777" w:rsidR="005A5570" w:rsidRPr="00CF14A2" w:rsidRDefault="005A5570" w:rsidP="005A5570">
            <w:pPr>
              <w:tabs>
                <w:tab w:val="left" w:pos="1693"/>
              </w:tabs>
              <w:rPr>
                <w:sz w:val="20"/>
                <w:szCs w:val="20"/>
              </w:rPr>
            </w:pPr>
            <w:r w:rsidRPr="00CF14A2">
              <w:rPr>
                <w:b/>
                <w:sz w:val="20"/>
                <w:szCs w:val="20"/>
              </w:rPr>
              <w:t xml:space="preserve">Patient Name</w:t>
            </w:r>
            <w:r w:rsidRPr="00CF14A2">
              <w:rPr>
                <w:sz w:val="20"/>
                <w:szCs w:val="20"/>
              </w:rPr>
              <w:tab/>
            </w:r>
            <w:r>
              <w:rPr>
                <w:sz w:val="20"/>
                <w:szCs w:val="20"/>
              </w:rPr>
              <w:t xml:space="preserve">S1</w:t>
            </w:r>
            <w:proofErr w:type="spellStart"/>
            <w:r>
              <w:rPr>
                <w:sz w:val="20"/>
                <w:szCs w:val="20"/>
              </w:rPr>
              <w:t/>
            </w:r>
            <w:proofErr w:type="spellEnd"/>
            <w:r>
              <w:rPr>
                <w:sz w:val="20"/>
                <w:szCs w:val="20"/>
              </w:rPr>
              <w:t/>
            </w:r>
          </w:p>
          <w:p w14:paraId="5144E6C5" w14:textId="77777777" w:rsidR="005A5570" w:rsidRPr="00CF14A2" w:rsidRDefault="005A5570" w:rsidP="005A5570">
            <w:pPr>
              <w:tabs>
                <w:tab w:val="left" w:pos="1693"/>
              </w:tabs>
              <w:rPr>
                <w:sz w:val="20"/>
                <w:szCs w:val="20"/>
              </w:rPr>
            </w:pPr>
            <w:r w:rsidRPr="00CF14A2">
              <w:rPr>
                <w:b/>
                <w:sz w:val="20"/>
                <w:szCs w:val="20"/>
              </w:rPr>
              <w:t xml:space="preserve">DOB</w:t>
            </w:r>
            <w:r w:rsidRPr="00CF14A2">
              <w:rPr>
                <w:sz w:val="20"/>
                <w:szCs w:val="20"/>
              </w:rPr>
              <w:tab/>
            </w:r>
            <w:r>
              <w:rPr>
                <w:sz w:val="20"/>
                <w:szCs w:val="20"/>
              </w:rPr>
              <w:t/>
            </w:r>
          </w:p>
          <w:p w14:paraId="5B55E5D6" w14:textId="77777777" w:rsidR="005A5570" w:rsidRPr="00CF14A2" w:rsidRDefault="005A5570" w:rsidP="005A5570">
            <w:pPr>
              <w:tabs>
                <w:tab w:val="left" w:pos="1693"/>
              </w:tabs>
              <w:rPr>
                <w:sz w:val="20"/>
                <w:szCs w:val="20"/>
              </w:rPr>
            </w:pPr>
            <w:r w:rsidRPr="00CF14A2">
              <w:rPr>
                <w:b/>
                <w:sz w:val="20"/>
                <w:szCs w:val="20"/>
              </w:rPr>
              <w:t xml:space="preserve">Sex</w:t>
            </w:r>
            <w:r w:rsidRPr="00CF14A2">
              <w:rPr>
                <w:sz w:val="20"/>
                <w:szCs w:val="20"/>
              </w:rPr>
              <w:tab/>
            </w:r>
            <w:r>
              <w:rPr>
                <w:sz w:val="20"/>
                <w:szCs w:val="20"/>
              </w:rPr>
              <w:t xml:space="preserve">Unknown</w:t>
            </w:r>
          </w:p>
          <w:p w14:paraId="6EB87329" w14:textId="095F2D85" w:rsidR="005A5570" w:rsidRDefault="005A5570" w:rsidP="005A5570">
            <w:pPr>
              <w:tabs>
                <w:tab w:val="left" w:pos="1693"/>
              </w:tabs>
            </w:pPr>
            <w:r w:rsidRPr="00CF14A2">
              <w:rPr>
                <w:b/>
                <w:sz w:val="20"/>
                <w:szCs w:val="20"/>
              </w:rPr>
              <w:t xml:space="preserve">MRN</w:t>
            </w:r>
            <w:r w:rsidRPr="00CF14A2">
              <w:rPr>
                <w:sz w:val="20"/>
                <w:szCs w:val="20"/>
              </w:rPr>
              <w:tab/>
            </w:r>
            <w:r>
              <w:rPr>
                <w:sz w:val="20"/>
                <w:szCs w:val="20"/>
              </w:rPr>
              <w:t/>
            </w:r>
            <w:proofErr w:type="spellStart"/>
            <w:r>
              <w:rPr>
                <w:sz w:val="20"/>
                <w:szCs w:val="20"/>
              </w:rPr>
              <w:t/>
            </w:r>
            <w:proofErr w:type="spellEnd"/>
            <w:r>
              <w:rPr>
                <w:sz w:val="20"/>
                <w:szCs w:val="20"/>
              </w:rPr>
              <w:t/>
            </w:r>
          </w:p>
        </w:tc>
        <w:tc>
          <w:tcPr>
            <w:tcW w:w="3597" w:type="dxa"/>
            <w:shd w:val="clear" w:color="auto" w:fill="F2F2F2" w:themeFill="background1" w:themeFillShade="F2"/>
          </w:tcPr>
          <w:p w14:paraId="7FF07A26" w14:textId="77777777" w:rsidR="005A5570" w:rsidRPr="00F10FBB" w:rsidRDefault="005A5570" w:rsidP="005A5570">
            <w:pPr>
              <w:pStyle w:val="Heading2"/>
              <w:spacing w:before="0" w:after="120"/>
              <w:outlineLvl w:val="1"/>
              <w:rPr>
                <w:color w:val="7F7F7F" w:themeColor="text1" w:themeTint="80"/>
              </w:rPr>
            </w:pPr>
            <w:r>
              <w:rPr>
                <w:color w:val="7F7F7F" w:themeColor="text1" w:themeTint="80"/>
              </w:rPr>
              <w:t xml:space="preserve">Reference</w:t>
            </w:r>
            <w:r w:rsidRPr="00F10FBB">
              <w:rPr>
                <w:color w:val="7F7F7F" w:themeColor="text1" w:themeTint="80"/>
              </w:rPr>
              <w:t xml:space="preserve"> Info</w:t>
            </w:r>
            <w:r>
              <w:rPr>
                <w:color w:val="7F7F7F" w:themeColor="text1" w:themeTint="80"/>
              </w:rPr>
              <w:t xml:space="preserve">rmation</w:t>
            </w:r>
          </w:p>
          <w:p w14:paraId="478B0056" w14:textId="77777777" w:rsidR="005A5570" w:rsidRPr="00CF14A2" w:rsidRDefault="005A5570" w:rsidP="005A5570">
            <w:pPr>
              <w:tabs>
                <w:tab w:val="left" w:pos="1696"/>
              </w:tabs>
              <w:rPr>
                <w:sz w:val="20"/>
                <w:szCs w:val="20"/>
              </w:rPr>
            </w:pPr>
            <w:r w:rsidRPr="00CF14A2">
              <w:rPr>
                <w:b/>
                <w:sz w:val="20"/>
                <w:szCs w:val="20"/>
              </w:rPr>
              <w:t xml:space="preserve">Ordering Physician</w:t>
            </w:r>
            <w:r w:rsidRPr="00CF14A2">
              <w:rPr>
                <w:sz w:val="20"/>
                <w:szCs w:val="20"/>
              </w:rPr>
              <w:tab/>
            </w:r>
            <w:r>
              <w:rPr>
                <w:sz w:val="20"/>
                <w:szCs w:val="20"/>
              </w:rPr>
              <w:t/>
            </w:r>
            <w:proofErr w:type="spellStart"/>
            <w:r>
              <w:rPr>
                <w:sz w:val="20"/>
                <w:szCs w:val="20"/>
              </w:rPr>
              <w:t/>
            </w:r>
            <w:proofErr w:type="spellEnd"/>
            <w:r>
              <w:rPr>
                <w:sz w:val="20"/>
                <w:szCs w:val="20"/>
              </w:rPr>
              <w:t/>
            </w:r>
          </w:p>
          <w:p w14:paraId="3A98B8E3" w14:textId="77777777" w:rsidR="005A5570" w:rsidRPr="00CF14A2" w:rsidRDefault="005A5570" w:rsidP="005A5570">
            <w:pPr>
              <w:tabs>
                <w:tab w:val="left" w:pos="1696"/>
              </w:tabs>
              <w:rPr>
                <w:sz w:val="20"/>
                <w:szCs w:val="20"/>
              </w:rPr>
            </w:pPr>
            <w:r w:rsidRPr="00CF14A2">
              <w:rPr>
                <w:b/>
                <w:sz w:val="20"/>
                <w:szCs w:val="20"/>
              </w:rPr>
              <w:t xml:space="preserve">Order Date</w:t>
            </w:r>
            <w:r w:rsidRPr="00CF14A2">
              <w:rPr>
                <w:sz w:val="20"/>
                <w:szCs w:val="20"/>
              </w:rPr>
              <w:tab/>
            </w:r>
            <w:r>
              <w:rPr>
                <w:sz w:val="20"/>
                <w:szCs w:val="20"/>
              </w:rPr>
              <w:t/>
            </w:r>
            <w:proofErr w:type="spellStart"/>
            <w:r>
              <w:rPr>
                <w:sz w:val="20"/>
                <w:szCs w:val="20"/>
              </w:rPr>
              <w:t/>
            </w:r>
            <w:proofErr w:type="spellEnd"/>
            <w:r>
              <w:rPr>
                <w:sz w:val="20"/>
                <w:szCs w:val="20"/>
              </w:rPr>
              <w:t/>
            </w:r>
          </w:p>
          <w:p w14:paraId="0FF9A78C" w14:textId="77777777" w:rsidR="005A5570" w:rsidRPr="00CF14A2" w:rsidRDefault="005A5570" w:rsidP="005A5570">
            <w:pPr>
              <w:tabs>
                <w:tab w:val="left" w:pos="1696"/>
              </w:tabs>
              <w:rPr>
                <w:sz w:val="20"/>
                <w:szCs w:val="20"/>
              </w:rPr>
            </w:pPr>
            <w:r>
              <w:rPr>
                <w:b/>
                <w:sz w:val="20"/>
                <w:szCs w:val="20"/>
              </w:rPr>
              <w:t xml:space="preserve">Contact/Recipient</w:t>
            </w:r>
            <w:r w:rsidRPr="00CF14A2">
              <w:rPr>
                <w:sz w:val="20"/>
                <w:szCs w:val="20"/>
              </w:rPr>
              <w:tab/>
            </w:r>
            <w:r>
              <w:rPr>
                <w:sz w:val="20"/>
                <w:szCs w:val="20"/>
              </w:rPr>
              <w:t/>
            </w:r>
            <w:proofErr w:type="spellStart"/>
            <w:r>
              <w:rPr>
                <w:sz w:val="20"/>
                <w:szCs w:val="20"/>
              </w:rPr>
              <w:t/>
            </w:r>
            <w:proofErr w:type="spellEnd"/>
            <w:r>
              <w:rPr>
                <w:sz w:val="20"/>
                <w:szCs w:val="20"/>
              </w:rPr>
              <w:t/>
            </w:r>
          </w:p>
          <w:p w14:paraId="1C43DF7D" w14:textId="779D597B" w:rsidR="005A5570" w:rsidRDefault="005A5570" w:rsidP="005A5570">
            <w:pPr>
              <w:tabs>
                <w:tab w:val="left" w:pos="1696"/>
              </w:tabs>
            </w:pPr>
            <w:r>
              <w:rPr>
                <w:b/>
                <w:sz w:val="20"/>
                <w:szCs w:val="20"/>
              </w:rPr>
              <w:t xml:space="preserve">Additional</w:t>
            </w:r>
            <w:r w:rsidRPr="00CF14A2">
              <w:rPr>
                <w:sz w:val="20"/>
                <w:szCs w:val="20"/>
              </w:rPr>
              <w:tab/>
            </w:r>
            <w:r>
              <w:rPr>
                <w:sz w:val="20"/>
                <w:szCs w:val="20"/>
              </w:rPr>
              <w:t/>
            </w:r>
            <w:proofErr w:type="spellStart"/>
            <w:r>
              <w:rPr>
                <w:sz w:val="20"/>
                <w:szCs w:val="20"/>
              </w:rPr>
              <w:t/>
            </w:r>
            <w:proofErr w:type="spellEnd"/>
            <w:r>
              <w:rPr>
                <w:sz w:val="20"/>
                <w:szCs w:val="20"/>
              </w:rPr>
              <w:t/>
            </w:r>
          </w:p>
        </w:tc>
        <w:tc>
          <w:tcPr>
            <w:tcW w:w="3597" w:type="dxa"/>
            <w:shd w:val="clear" w:color="auto" w:fill="F2F2F2" w:themeFill="background1" w:themeFillShade="F2"/>
          </w:tcPr>
          <w:p w14:paraId="1D0B032E" w14:textId="77777777" w:rsidR="005A5570" w:rsidRPr="00F10FBB" w:rsidRDefault="005A5570" w:rsidP="005A5570">
            <w:pPr>
              <w:pStyle w:val="Heading2"/>
              <w:spacing w:before="0" w:after="120"/>
              <w:outlineLvl w:val="1"/>
              <w:rPr>
                <w:color w:val="7F7F7F" w:themeColor="text1" w:themeTint="80"/>
              </w:rPr>
            </w:pPr>
            <w:r>
              <w:rPr>
                <w:color w:val="7F7F7F" w:themeColor="text1" w:themeTint="80"/>
              </w:rPr>
              <w:t xml:space="preserve">Sample</w:t>
            </w:r>
            <w:r w:rsidRPr="00F10FBB">
              <w:rPr>
                <w:color w:val="7F7F7F" w:themeColor="text1" w:themeTint="80"/>
              </w:rPr>
              <w:t xml:space="preserve"> Info</w:t>
            </w:r>
            <w:r>
              <w:rPr>
                <w:color w:val="7F7F7F" w:themeColor="text1" w:themeTint="80"/>
              </w:rPr>
              <w:t xml:space="preserve">rmation</w:t>
            </w:r>
          </w:p>
          <w:p w14:paraId="4A85CAAF" w14:textId="77777777" w:rsidR="005A5570" w:rsidRPr="00CF14A2" w:rsidRDefault="005A5570" w:rsidP="005A5570">
            <w:pPr>
              <w:tabs>
                <w:tab w:val="left" w:pos="1822"/>
              </w:tabs>
              <w:rPr>
                <w:sz w:val="20"/>
              </w:rPr>
            </w:pPr>
            <w:r w:rsidRPr="00CF14A2">
              <w:rPr>
                <w:b/>
                <w:sz w:val="20"/>
              </w:rPr>
              <w:t xml:space="preserve">Specimen Site</w:t>
            </w:r>
            <w:r w:rsidRPr="00CF14A2">
              <w:rPr>
                <w:sz w:val="20"/>
              </w:rPr>
              <w:tab/>
            </w:r>
            <w:r>
              <w:rPr>
                <w:sz w:val="20"/>
              </w:rPr>
              <w:t/>
            </w:r>
            <w:proofErr w:type="spellStart"/>
            <w:r>
              <w:rPr>
                <w:sz w:val="20"/>
              </w:rPr>
              <w:t/>
            </w:r>
            <w:proofErr w:type="spellEnd"/>
            <w:r>
              <w:rPr>
                <w:sz w:val="20"/>
              </w:rPr>
              <w:t/>
            </w:r>
          </w:p>
          <w:p w14:paraId="09BD86A6" w14:textId="77777777" w:rsidR="005A5570" w:rsidRPr="00CF14A2" w:rsidRDefault="005A5570" w:rsidP="005A5570">
            <w:pPr>
              <w:tabs>
                <w:tab w:val="left" w:pos="1822"/>
              </w:tabs>
              <w:rPr>
                <w:sz w:val="20"/>
              </w:rPr>
            </w:pPr>
            <w:r w:rsidRPr="00CF14A2">
              <w:rPr>
                <w:b/>
                <w:sz w:val="20"/>
              </w:rPr>
              <w:t xml:space="preserve">Collection Date</w:t>
            </w:r>
            <w:r w:rsidRPr="00CF14A2">
              <w:rPr>
                <w:sz w:val="20"/>
              </w:rPr>
              <w:tab/>
            </w:r>
            <w:r>
              <w:rPr>
                <w:sz w:val="20"/>
              </w:rPr>
              <w:t/>
            </w:r>
            <w:proofErr w:type="spellStart"/>
            <w:r>
              <w:rPr>
                <w:sz w:val="20"/>
              </w:rPr>
              <w:t/>
            </w:r>
            <w:proofErr w:type="spellEnd"/>
            <w:r>
              <w:rPr>
                <w:sz w:val="20"/>
              </w:rPr>
              <w:t/>
            </w:r>
          </w:p>
          <w:p w14:paraId="46E3576F" w14:textId="77777777" w:rsidR="005A5570" w:rsidRPr="00CF14A2" w:rsidRDefault="005A5570" w:rsidP="005A5570">
            <w:pPr>
              <w:tabs>
                <w:tab w:val="left" w:pos="1822"/>
              </w:tabs>
              <w:rPr>
                <w:sz w:val="20"/>
              </w:rPr>
            </w:pPr>
            <w:r w:rsidRPr="00CF14A2">
              <w:rPr>
                <w:b/>
                <w:sz w:val="20"/>
              </w:rPr>
              <w:t xml:space="preserve">Received Date</w:t>
            </w:r>
            <w:r w:rsidRPr="00CF14A2">
              <w:rPr>
                <w:sz w:val="20"/>
              </w:rPr>
              <w:tab/>
            </w:r>
            <w:r>
              <w:rPr>
                <w:sz w:val="20"/>
              </w:rPr>
              <w:t/>
            </w:r>
            <w:proofErr w:type="spellStart"/>
            <w:r w:rsidRPr="00C275A4">
              <w:rPr>
                <w:sz w:val="20"/>
              </w:rPr>
              <w:t/>
            </w:r>
            <w:proofErr w:type="spellEnd"/>
            <w:r>
              <w:rPr>
                <w:sz w:val="20"/>
              </w:rPr>
              <w:t/>
            </w:r>
          </w:p>
          <w:p w14:paraId="7713DC22" w14:textId="1A9E21F5" w:rsidR="005A5570" w:rsidRDefault="005A5570" w:rsidP="005A5570">
            <w:pPr>
              <w:tabs>
                <w:tab w:val="left" w:pos="1822"/>
              </w:tabs>
            </w:pPr>
            <w:r w:rsidRPr="00CF14A2">
              <w:rPr>
                <w:b/>
                <w:sz w:val="20"/>
              </w:rPr>
              <w:t xml:space="preserve">Accession #</w:t>
            </w:r>
            <w:r w:rsidRPr="00CF14A2">
              <w:rPr>
                <w:sz w:val="20"/>
              </w:rPr>
              <w:tab/>
            </w:r>
            <w:r>
              <w:rPr>
                <w:sz w:val="20"/>
              </w:rPr>
              <w:t/>
            </w:r>
          </w:p>
        </w:tc>
      </w:tr>
    </w:tbl>
    <w:p w14:paraId="6C260EE2" w14:textId="77777777" w:rsidR="0002665A" w:rsidRPr="003F74E6" w:rsidRDefault="0002665A" w:rsidP="0002665A">
      <w:pPr>
        <w:pStyle w:val="Heading2"/>
        <w:spacing w:before="120"/>
        <w:rPr>
          <w:rFonts w:cs="Calibri Light (Headings)"/>
          <w:b/>
          <w:smallCaps/>
          <w:color w:val="0D0D0D" w:themeColor="text1" w:themeTint="F2"/>
          <w:spacing w:val="10"/>
        </w:rPr>
      </w:pPr>
      <w:r w:rsidRPr="003F74E6">
        <w:rPr>
          <w:rFonts w:cs="Calibri Light (Headings)"/>
          <w:b/>
          <w:smallCaps/>
          <w:color w:val="0D0D0D" w:themeColor="text1" w:themeTint="F2"/>
          <w:spacing w:val="10"/>
        </w:rPr>
        <w:t>About the Test</w:t>
      </w:r>
    </w:p>
    <w:p w14:paraId="0B15DF8D" w14:textId="4DA62D9F" w:rsidR="0002665A" w:rsidRPr="001A651C" w:rsidRDefault="0002665A" w:rsidP="0002665A">
      <w:pPr>
        <w:spacing w:after="240"/>
        <w:rPr>
          <w:color w:val="7F7F7F" w:themeColor="text1" w:themeTint="80"/>
          <w:sz w:val="20"/>
          <w:szCs w:val="20"/>
        </w:rPr>
      </w:pPr>
      <w:r w:rsidRPr="001A651C">
        <w:rPr>
          <w:color w:val="7F7F7F" w:themeColor="text1" w:themeTint="80"/>
          <w:sz w:val="20"/>
          <w:szCs w:val="20"/>
        </w:rPr>
        <w:t xml:space="preserve">Golden Labs </w:t>
      </w:r>
      <w:r>
        <w:rPr>
          <w:color w:val="7F7F7F" w:themeColor="text1" w:themeTint="80"/>
          <w:sz w:val="20"/>
          <w:szCs w:val="20"/>
        </w:rPr>
        <w:t xml:space="preserve">utilizes a Next Generation Sequencing (NGS) based assay of </w:t>
      </w:r>
      <w:r w:rsidR="00313F9A">
        <w:rPr>
          <w:color w:val="7F7F7F" w:themeColor="text1" w:themeTint="80"/>
          <w:sz w:val="20"/>
          <w:szCs w:val="20"/>
        </w:rPr>
        <w:t>cancer-related</w:t>
      </w:r>
      <w:r>
        <w:rPr>
          <w:color w:val="7F7F7F" w:themeColor="text1" w:themeTint="80"/>
          <w:sz w:val="20"/>
          <w:szCs w:val="20"/>
        </w:rPr>
        <w:t xml:space="preserve"> genes to detect relevant genomic alterations that provide therapeutic guidance, disease diagnostic evidence or prognostic indication. See Method</w:t>
      </w:r>
      <w:r w:rsidR="0005044D">
        <w:rPr>
          <w:color w:val="7F7F7F" w:themeColor="text1" w:themeTint="80"/>
          <w:sz w:val="20"/>
          <w:szCs w:val="20"/>
        </w:rPr>
        <w:t>s</w:t>
      </w:r>
      <w:r>
        <w:rPr>
          <w:color w:val="7F7F7F" w:themeColor="text1" w:themeTint="80"/>
          <w:sz w:val="20"/>
          <w:szCs w:val="20"/>
        </w:rPr>
        <w:t xml:space="preserve"> </w:t>
      </w:r>
      <w:r w:rsidR="00E4412B">
        <w:rPr>
          <w:color w:val="7F7F7F" w:themeColor="text1" w:themeTint="80"/>
          <w:sz w:val="20"/>
          <w:szCs w:val="20"/>
        </w:rPr>
        <w:t>and</w:t>
      </w:r>
      <w:r>
        <w:rPr>
          <w:color w:val="7F7F7F" w:themeColor="text1" w:themeTint="80"/>
          <w:sz w:val="20"/>
          <w:szCs w:val="20"/>
        </w:rPr>
        <w:t xml:space="preserve"> Limitations.</w:t>
      </w:r>
    </w:p>
    <w:tbl>
      <w:tblPr>
        <w:tblStyle w:val="TableGrid"/>
        <w:tblW w:w="0" w:type="auto"/>
        <w:tblInd w:w="516" w:type="dxa"/>
        <w:tblBorders>
          <w:insideH w:val="none" w:sz="0" w:space="0" w:color="auto"/>
          <w:insideV w:val="none" w:sz="0" w:space="0" w:color="auto"/>
        </w:tblBorders>
        <w:tblLook w:val="04A0" w:firstRow="1" w:lastRow="0" w:firstColumn="1" w:lastColumn="0" w:noHBand="0" w:noVBand="1"/>
      </w:tblPr>
      <w:tblGrid>
        <w:gridCol w:w="9980"/>
      </w:tblGrid>
      <w:tr w:rsidR="0002665A" w14:paraId="03BBFCBE" w14:textId="77777777" w:rsidTr="00597835">
        <w:trPr>
          <w:trHeight w:val="1368"/>
        </w:trPr>
        <w:tc>
          <w:tcPr>
            <w:tcW w:w="9980" w:type="dxa"/>
          </w:tcPr>
          <w:p w14:paraId="40EF3D8A" w14:textId="009EF25C" w:rsidR="00A520CB" w:rsidRPr="00A520CB" w:rsidRDefault="008440EE" w:rsidP="00A520CB">
            <w:pPr>
              <w:pStyle w:val="Heading2"/>
              <w:spacing w:before="0" w:after="120"/>
              <w:outlineLvl w:val="1"/>
              <w:rPr>
                <w:b/>
                <w:smallCaps/>
                <w:color w:val="000000" w:themeColor="text1"/>
              </w:rPr>
            </w:pPr>
            <w:r w:rsidRPr="008C14C6">
              <w:rPr>
                <w:b/>
                <w:smallCaps/>
                <w:color w:val="000000" w:themeColor="text1"/>
              </w:rPr>
              <w:t xml:space="preserve">Results Summary </w:t>
            </w:r>
          </w:p>
          <w:p w14:paraId="0E4A3DA4" w14:textId="28356FAB" w:rsidR="00A520CB" w:rsidRPr="00A520CB" w:rsidRDefault="00A520CB" w:rsidP="008440EE">
            <w:pPr>
              <w:pBdr>
                <w:top w:val="single" w:sz="4" w:space="1" w:color="auto"/>
                <w:bottom w:val="single" w:sz="4" w:space="1" w:color="auto"/>
              </w:pBdr>
              <w:spacing w:line="360" w:lineRule="auto"/>
              <w:rPr>
                <w:rFonts w:asciiTheme="majorHAnsi" w:hAnsiTheme="majorHAnsi" w:cstheme="majorHAnsi"/>
              </w:rPr>
            </w:pPr>
            <w:r>
              <w:rPr>
                <w:rFonts w:asciiTheme="majorHAnsi" w:hAnsiTheme="majorHAnsi" w:cstheme="majorHAnsi"/>
              </w:rPr>
              <w:t/>
            </w:r>
            <w:proofErr w:type="spellStart"/>
            <w:r>
              <w:rPr>
                <w:rFonts w:asciiTheme="majorHAnsi" w:hAnsiTheme="majorHAnsi" w:cstheme="majorHAnsi"/>
              </w:rPr>
              <w:t/>
            </w:r>
            <w:proofErr w:type="spellEnd"/>
            <w:r>
              <w:rPr>
                <w:rFonts w:asciiTheme="majorHAnsi" w:hAnsiTheme="majorHAnsi" w:cstheme="majorHAnsi"/>
              </w:rPr>
              <w:t/>
            </w:r>
          </w:p>
          <w:p w14:paraId="2DB18B78" w14:textId="3518AA4E" w:rsidR="008440EE" w:rsidRPr="008C14C6" w:rsidRDefault="008440EE" w:rsidP="008440EE">
            <w:pPr>
              <w:pBdr>
                <w:top w:val="single" w:sz="4" w:space="1" w:color="auto"/>
                <w:bottom w:val="single" w:sz="4" w:space="1" w:color="auto"/>
              </w:pBdr>
              <w:spacing w:line="360" w:lineRule="auto"/>
              <w:rPr>
                <w:rFonts w:asciiTheme="majorHAnsi" w:hAnsiTheme="majorHAnsi" w:cstheme="majorHAnsi"/>
                <w:b/>
                <w:bCs/>
              </w:rPr>
            </w:pPr>
            <w:r w:rsidRPr="008C14C6">
              <w:rPr>
                <w:rFonts w:asciiTheme="majorHAnsi" w:hAnsiTheme="majorHAnsi" w:cstheme="majorHAnsi"/>
                <w:b/>
                <w:bCs/>
              </w:rPr>
              <w:t xml:space="preserve">Negative</w:t>
            </w:r>
            <w:r>
              <w:rPr>
                <w:rFonts w:asciiTheme="majorHAnsi" w:hAnsiTheme="majorHAnsi" w:cstheme="majorHAnsi"/>
                <w:b/>
                <w:bCs/>
              </w:rPr>
              <w:t xml:space="preserve"> Findings</w:t>
            </w:r>
          </w:p>
          <w:p w14:paraId="0F4035A4" w14:textId="77777777" w:rsidR="008440EE" w:rsidRDefault="008440EE" w:rsidP="008440EE">
            <w:pPr>
              <w:spacing w:line="360" w:lineRule="auto"/>
            </w:pPr>
            <w:r>
              <w:t xml:space="preserve">No pathogenic single nucleotide variants, indels, copy number changes, or structural variations found for:</w:t>
            </w:r>
          </w:p>
          <w:p w14:paraId="2D568D27" w14:textId="77777777" w:rsidR="008440EE" w:rsidRDefault="008440EE" w:rsidP="008440EE">
            <w:pPr>
              <w:spacing w:line="360" w:lineRule="auto"/>
            </w:pPr>
            <w:r>
              <w:t xml:space="preserve">| </w:t>
            </w:r>
            <w:r w:rsidRPr="00FD4201">
              <w:rPr>
                <w:b/>
                <w:bCs/>
                <w:color w:val="808080" w:themeColor="background1" w:themeShade="80"/>
              </w:rPr>
              <w:t xml:space="preserve">EGFR</w:t>
            </w:r>
            <w:r>
              <w:t xml:space="preserve"> |</w:t>
            </w:r>
            <w:r>
              <w:rPr>
                <w:noProof/>
              </w:rPr>
              <w:t xml:space="preserve"> </w:t>
            </w:r>
            <w:r w:rsidRPr="00FD4201">
              <w:rPr>
                <w:b/>
                <w:bCs/>
                <w:color w:val="808080" w:themeColor="background1" w:themeShade="80"/>
              </w:rPr>
              <w:t xml:space="preserve">ALK</w:t>
            </w:r>
            <w:r>
              <w:t xml:space="preserve"> |</w:t>
            </w:r>
            <w:r>
              <w:rPr>
                <w:noProof/>
              </w:rPr>
              <w:t xml:space="preserve"> </w:t>
            </w:r>
            <w:r w:rsidRPr="00FD4201">
              <w:rPr>
                <w:b/>
                <w:bCs/>
                <w:color w:val="808080" w:themeColor="background1" w:themeShade="80"/>
              </w:rPr>
              <w:t xml:space="preserve">ROS1</w:t>
            </w:r>
            <w:r>
              <w:t xml:space="preserve"> |</w:t>
            </w:r>
            <w:r>
              <w:rPr>
                <w:noProof/>
              </w:rPr>
              <w:t/>
            </w:r>
          </w:p>
          <w:p w14:paraId="6C71C9F6" w14:textId="77777777" w:rsidR="008440EE" w:rsidRPr="008C14C6" w:rsidRDefault="008440EE" w:rsidP="008440EE">
            <w:pPr>
              <w:pBdr>
                <w:top w:val="single" w:sz="4" w:space="1" w:color="auto"/>
                <w:bottom w:val="single" w:sz="4" w:space="1" w:color="auto"/>
              </w:pBdr>
              <w:spacing w:line="360" w:lineRule="auto"/>
              <w:rPr>
                <w:rFonts w:asciiTheme="majorHAnsi" w:hAnsiTheme="majorHAnsi" w:cstheme="majorHAnsi"/>
                <w:b/>
                <w:bCs/>
              </w:rPr>
            </w:pPr>
            <w:r>
              <w:rPr>
                <w:rFonts w:asciiTheme="majorHAnsi" w:hAnsiTheme="majorHAnsi" w:cstheme="majorHAnsi"/>
                <w:b/>
                <w:bCs/>
              </w:rPr>
              <w:t/>
            </w:r>
            <w:r w:rsidRPr="008C14C6">
              <w:rPr>
                <w:rFonts w:asciiTheme="majorHAnsi" w:hAnsiTheme="majorHAnsi" w:cstheme="majorHAnsi"/>
                <w:b/>
                <w:bCs/>
              </w:rPr>
              <w:t xml:space="preserve">Genomic Signatures</w:t>
            </w:r>
          </w:p>
          <w:p w14:paraId="645DD66E" w14:textId="77777777" w:rsidR="008440EE" w:rsidRDefault="008440EE" w:rsidP="008440EE">
            <w:pPr>
              <w:spacing w:line="360" w:lineRule="auto"/>
            </w:pPr>
            <w:r>
              <w:t xml:space="preserve">The following genomic signature(s) were analyzed for this sample:</w:t>
            </w:r>
          </w:p>
          <w:p w14:paraId="7EF821BC" w14:textId="77777777" w:rsidR="008440EE" w:rsidRPr="00864D87" w:rsidRDefault="008440EE" w:rsidP="008440EE">
            <w:pPr>
              <w:spacing w:line="360" w:lineRule="auto"/>
            </w:pPr>
            <w:r>
              <w:t xml:space="preserve">TMB: High | 12.5 mut/Mb</w:t>
            </w:r>
          </w:p>
          <w:p w14:paraId="7EF821BC" w14:textId="77777777" w:rsidR="008440EE" w:rsidRPr="00864D87" w:rsidRDefault="008440EE" w:rsidP="008440EE">
            <w:pPr>
              <w:spacing w:line="360" w:lineRule="auto"/>
            </w:pPr>
            <w:r>
              <w:t xml:space="preserve">MSI: High | 35.9 % unstable MSI loci</w:t>
            </w:r>
          </w:p>
          <w:p w14:paraId="7EF821BC" w14:textId="77777777" w:rsidR="008440EE" w:rsidRPr="00864D87" w:rsidRDefault="008440EE" w:rsidP="008440EE">
            <w:pPr>
              <w:spacing w:line="360" w:lineRule="auto"/>
            </w:pPr>
            <w:r>
              <w:t xml:space="preserve">HRD: Positive | 43 Genomic Instability Score</w:t>
            </w:r>
          </w:p>
          <w:p w14:paraId="10331918" w14:textId="77777777" w:rsidR="008440EE" w:rsidRPr="004665FC" w:rsidRDefault="008440EE" w:rsidP="008440EE">
            <w:pPr>
              <w:pBdr>
                <w:bottom w:val="single" w:sz="4" w:space="1" w:color="auto"/>
              </w:pBdr>
              <w:spacing w:line="360" w:lineRule="auto"/>
              <w:rPr>
                <w:sz w:val="2"/>
                <w:szCs w:val="2"/>
              </w:rPr>
            </w:pPr>
          </w:p>
          <w:p w14:paraId="57E7B7DE" w14:textId="1B0DB26E" w:rsidR="00BE7E03" w:rsidRDefault="008440EE" w:rsidP="00BE7E03">
            <w:r>
              <w:t/>
            </w:r>
          </w:p>
          <w:tbl>
            <w:tblPr>
              <w:tblStyle w:val="TableGrid"/>
              <w:tblW w:w="9754" w:type="dxa"/>
              <w:tblLook w:val="04A0" w:firstRow="1" w:lastRow="0" w:firstColumn="1" w:lastColumn="0" w:noHBand="0" w:noVBand="1"/>
            </w:tblPr>
            <w:tblGrid>
              <w:gridCol w:w="4332"/>
              <w:gridCol w:w="5422"/>
            </w:tblGrid>
            <w:tr w:rsidR="00BE7E03" w14:paraId="599CF2BC" w14:textId="77777777" w:rsidTr="00597835">
              <w:trPr>
                <w:trHeight w:val="265"/>
              </w:trPr>
              <w:tc>
                <w:tcPr>
                  <w:tcW w:w="6714" w:type="dxa"/>
                  <w:shd w:val="clear" w:color="auto" w:fill="000000" w:themeFill="text1"/>
                </w:tcPr>
                <w:p w14:paraId="6F85A360" w14:textId="77777777" w:rsidR="00BE7E03" w:rsidRPr="00CE1323" w:rsidRDefault="00BE7E03" w:rsidP="00597835">
                  <w:pPr>
                    <w:jc w:val="center"/>
                    <w:rPr>
                      <w:rFonts w:asciiTheme="majorHAnsi" w:hAnsiTheme="majorHAnsi" w:cstheme="majorHAnsi"/>
                      <w:b/>
                      <w:bCs/>
                      <w:color w:val="FFFFFF" w:themeColor="background1"/>
                    </w:rPr>
                  </w:pPr>
                  <w:r w:rsidRPr="00CE1323">
                    <w:rPr>
                      <w:rFonts w:asciiTheme="majorHAnsi" w:hAnsiTheme="majorHAnsi" w:cstheme="majorHAnsi"/>
                      <w:b/>
                      <w:bCs/>
                      <w:color w:val="FFFFFF" w:themeColor="background1"/>
                    </w:rPr>
                    <w:t>Genomic Finding</w:t>
                  </w:r>
                </w:p>
              </w:tc>
              <w:tc>
                <w:tcPr>
                  <w:tcW w:w="3040" w:type="dxa"/>
                  <w:shd w:val="clear" w:color="auto" w:fill="000000" w:themeFill="text1"/>
                </w:tcPr>
                <w:p w14:paraId="74D99102" w14:textId="77777777" w:rsidR="00BE7E03" w:rsidRPr="00CE1323" w:rsidRDefault="00BE7E03" w:rsidP="00597835">
                  <w:pPr>
                    <w:jc w:val="center"/>
                    <w:rPr>
                      <w:rFonts w:asciiTheme="majorHAnsi" w:hAnsiTheme="majorHAnsi" w:cstheme="majorHAnsi"/>
                      <w:b/>
                      <w:bCs/>
                      <w:color w:val="FFFFFF" w:themeColor="background1"/>
                    </w:rPr>
                  </w:pPr>
                  <w:r w:rsidRPr="00CE1323">
                    <w:rPr>
                      <w:rFonts w:asciiTheme="majorHAnsi" w:hAnsiTheme="majorHAnsi" w:cstheme="majorHAnsi"/>
                      <w:b/>
                      <w:bCs/>
                      <w:color w:val="FFFFFF" w:themeColor="background1"/>
                    </w:rPr>
                    <w:t>Number of Findings Detected</w:t>
                  </w:r>
                </w:p>
              </w:tc>
            </w:tr>
            <w:tr w:rsidR="005A5570" w14:paraId="125263D4" w14:textId="77777777" w:rsidTr="00BE7E03">
              <w:trPr>
                <w:trHeight w:val="265"/>
              </w:trPr>
              <w:tc>
                <w:tcPr>
                  <w:tcW w:w="6714" w:type="dxa"/>
                  <w:shd w:val="clear" w:color="auto" w:fill="FFFFFF" w:themeFill="background1"/>
                </w:tcPr>
                <w:p w14:paraId="7518FD9F" w14:textId="77777777" w:rsidR="005A5570" w:rsidRDefault="005A5570" w:rsidP="00597835">
                  <w:pPr>
                    <w:jc w:val="center"/>
                  </w:pPr>
                  <w:r>
                    <w:t>Genomic Findings with Clinical Evidence</w:t>
                  </w:r>
                </w:p>
              </w:tc>
              <w:tc>
                <w:tcPr>
                  <w:tcW w:w="3040" w:type="dxa"/>
                  <w:shd w:val="clear" w:color="auto" w:fill="FFFFFF" w:themeFill="background1"/>
                </w:tcPr>
                <w:p w14:paraId="5AC6A91B" w14:textId="16E3771D" w:rsidR="005A5570" w:rsidRDefault="005A5570" w:rsidP="00597835">
                  <w:pPr>
                    <w:jc w:val="center"/>
                  </w:pPr>
                  <w:r>
                    <w:t xml:space="preserve">9</w:t>
                  </w:r>
                  <w:proofErr w:type="spellStart"/>
                  <w:r>
                    <w:t/>
                  </w:r>
                  <w:r w:rsidRPr="00E54896">
                    <w:t/>
                  </w:r>
                  <w:r>
                    <w:t/>
                  </w:r>
                  <w:r w:rsidRPr="00E54896">
                    <w:t/>
                  </w:r>
                  <w:proofErr w:type="spellEnd"/>
                  <w:r>
                    <w:t/>
                  </w:r>
                </w:p>
              </w:tc>
            </w:tr>
            <w:tr w:rsidR="005A5570" w14:paraId="1F15A50D" w14:textId="77777777" w:rsidTr="00597835">
              <w:trPr>
                <w:trHeight w:val="277"/>
              </w:trPr>
              <w:tc>
                <w:tcPr>
                  <w:tcW w:w="6714" w:type="dxa"/>
                  <w:shd w:val="clear" w:color="auto" w:fill="D0CECE" w:themeFill="background2" w:themeFillShade="E6"/>
                </w:tcPr>
                <w:p w14:paraId="7DCC6885" w14:textId="77777777" w:rsidR="005A5570" w:rsidRPr="00285A28" w:rsidRDefault="005A5570" w:rsidP="00597835">
                  <w:pPr>
                    <w:jc w:val="center"/>
                  </w:pPr>
                  <w:r>
                    <w:t>Genomic Findings with Prognostic/Diagnostic Evidence</w:t>
                  </w:r>
                </w:p>
              </w:tc>
              <w:tc>
                <w:tcPr>
                  <w:tcW w:w="3040" w:type="dxa"/>
                  <w:shd w:val="clear" w:color="auto" w:fill="D0CECE" w:themeFill="background2" w:themeFillShade="E6"/>
                </w:tcPr>
                <w:p w14:paraId="25D2B279" w14:textId="2C7F2177" w:rsidR="005A5570" w:rsidRPr="00285A28" w:rsidRDefault="005A5570" w:rsidP="00597835">
                  <w:pPr>
                    <w:jc w:val="center"/>
                  </w:pPr>
                  <w:r>
                    <w:t xml:space="preserve">2</w:t>
                  </w:r>
                  <w:proofErr w:type="spellStart"/>
                  <w:r>
                    <w:t/>
                  </w:r>
                  <w:r w:rsidRPr="00677CE8">
                    <w:t/>
                  </w:r>
                  <w:proofErr w:type="spellEnd"/>
                  <w:r>
                    <w:t/>
                  </w:r>
                </w:p>
              </w:tc>
            </w:tr>
            <w:tr w:rsidR="005A5570" w14:paraId="7149B68E" w14:textId="77777777" w:rsidTr="00BE7E03">
              <w:trPr>
                <w:trHeight w:val="265"/>
              </w:trPr>
              <w:tc>
                <w:tcPr>
                  <w:tcW w:w="6714" w:type="dxa"/>
                  <w:shd w:val="clear" w:color="auto" w:fill="FFFFFF" w:themeFill="background1"/>
                </w:tcPr>
                <w:p w14:paraId="1C699614" w14:textId="044BF372" w:rsidR="005A5570" w:rsidRDefault="005A5570" w:rsidP="00597835">
                  <w:pPr>
                    <w:jc w:val="center"/>
                  </w:pPr>
                  <w:r>
                    <w:t>Variants with Uncertain Clinical Significance</w:t>
                  </w:r>
                </w:p>
              </w:tc>
              <w:tc>
                <w:tcPr>
                  <w:tcW w:w="3040" w:type="dxa"/>
                  <w:shd w:val="clear" w:color="auto" w:fill="FFFFFF" w:themeFill="background1"/>
                </w:tcPr>
                <w:p w14:paraId="19AF3324" w14:textId="6AAB1F3F" w:rsidR="005A5570" w:rsidRDefault="005A5570" w:rsidP="00597835">
                  <w:pPr>
                    <w:jc w:val="center"/>
                  </w:pPr>
                  <w:r>
                    <w:t xml:space="preserve">0</w:t>
                  </w:r>
                  <w:proofErr w:type="spellStart"/>
                  <w:r>
                    <w:t/>
                  </w:r>
                  <w:proofErr w:type="spellEnd"/>
                  <w:r>
                    <w:t/>
                  </w:r>
                </w:p>
              </w:tc>
            </w:tr>
            <w:tr w:rsidR="005A5570" w14:paraId="2FD5577F" w14:textId="77777777" w:rsidTr="00597835">
              <w:trPr>
                <w:trHeight w:val="265"/>
              </w:trPr>
              <w:tc>
                <w:tcPr>
                  <w:tcW w:w="6714" w:type="dxa"/>
                  <w:shd w:val="clear" w:color="auto" w:fill="D0CECE" w:themeFill="background2" w:themeFillShade="E6"/>
                </w:tcPr>
                <w:p w14:paraId="33ED548E" w14:textId="77777777" w:rsidR="005A5570" w:rsidRDefault="005A5570" w:rsidP="00597835">
                  <w:pPr>
                    <w:jc w:val="center"/>
                  </w:pPr>
                  <w:r>
                    <w:t>Germline Alterations</w:t>
                  </w:r>
                </w:p>
              </w:tc>
              <w:tc>
                <w:tcPr>
                  <w:tcW w:w="3040" w:type="dxa"/>
                  <w:shd w:val="clear" w:color="auto" w:fill="D0CECE" w:themeFill="background2" w:themeFillShade="E6"/>
                </w:tcPr>
                <w:p w14:paraId="32D1A5E0" w14:textId="7CE87749" w:rsidR="005A5570" w:rsidRDefault="005A5570" w:rsidP="00597835">
                  <w:pPr>
                    <w:jc w:val="center"/>
                  </w:pPr>
                  <w:r>
                    <w:t xml:space="preserve">1</w:t>
                  </w:r>
                  <w:proofErr w:type="spellStart"/>
                  <w:r>
                    <w:t/>
                  </w:r>
                  <w:proofErr w:type="spellEnd"/>
                  <w:r>
                    <w:t/>
                  </w:r>
                </w:p>
              </w:tc>
            </w:tr>
          </w:tbl>
          <w:p w14:paraId="39762025" w14:textId="7E294CD3" w:rsidR="0002665A" w:rsidRPr="007965E4" w:rsidRDefault="007965E4">
            <w:pPr>
              <w:rPr>
                <w:sz w:val="16"/>
                <w:szCs w:val="16"/>
              </w:rPr>
            </w:pPr>
            <w:r>
              <w:rPr>
                <w:sz w:val="16"/>
                <w:szCs w:val="16"/>
              </w:rPr>
              <w:t xml:space="preserve"> </w:t>
            </w:r>
          </w:p>
        </w:tc>
      </w:tr>
    </w:tbl>
    <w:p w14:paraId="4F6C6AE3" w14:textId="22BBC436" w:rsidR="00857190" w:rsidRPr="00857190" w:rsidRDefault="00857190" w:rsidP="00857190">
      <w:pPr>
        <w:spacing w:after="0"/>
        <w:rPr>
          <w:sz w:val="16"/>
          <w:szCs w:val="16"/>
        </w:rPr>
      </w:pPr>
      <w:r w:rsidRPr="00857190">
        <w:rPr>
          <w:sz w:val="16"/>
          <w:szCs w:val="16"/>
        </w:rPr>
        <w:t/>
      </w:r>
    </w:p>
    <w:p w14:paraId="0B3F7FFF" w14:textId="00003F62" w:rsidR="00BE7E03" w:rsidRDefault="00BE7E03" w:rsidP="00857190">
      <w:pPr>
        <w:pStyle w:val="Heading1"/>
        <w:spacing w:before="120"/>
        <w:rPr>
          <w:rFonts w:asciiTheme="minorHAnsi" w:hAnsiTheme="minorHAnsi" w:cstheme="minorHAnsi"/>
          <w:b/>
          <w:bCs/>
          <w:color w:val="000000" w:themeColor="text1"/>
          <w:u w:val="single"/>
        </w:rPr>
      </w:pPr>
      <w:r>
        <w:rPr>
          <w:rFonts w:asciiTheme="minorHAnsi" w:hAnsiTheme="minorHAnsi" w:cstheme="minorHAnsi"/>
          <w:b/>
          <w:smallCaps/>
          <w:color w:val="0D0D0D" w:themeColor="text1" w:themeTint="F2"/>
          <w:spacing w:val="10"/>
          <w:sz w:val="28"/>
          <w:u w:val="single"/>
        </w:rPr>
        <w:t xml:space="preserve">Genomic </w:t>
      </w:r>
      <w:r w:rsidR="00857190">
        <w:rPr>
          <w:rFonts w:asciiTheme="minorHAnsi" w:hAnsiTheme="minorHAnsi" w:cstheme="minorHAnsi"/>
          <w:b/>
          <w:smallCaps/>
          <w:color w:val="0D0D0D" w:themeColor="text1" w:themeTint="F2"/>
          <w:spacing w:val="10"/>
          <w:sz w:val="28"/>
          <w:u w:val="single"/>
        </w:rPr>
        <w:t xml:space="preserve">F</w:t>
      </w:r>
      <w:r>
        <w:rPr>
          <w:rFonts w:asciiTheme="minorHAnsi" w:hAnsiTheme="minorHAnsi" w:cstheme="minorHAnsi"/>
          <w:b/>
          <w:smallCaps/>
          <w:color w:val="0D0D0D" w:themeColor="text1" w:themeTint="F2"/>
          <w:spacing w:val="10"/>
          <w:sz w:val="28"/>
          <w:u w:val="single"/>
        </w:rPr>
        <w:t xml:space="preserve">indings</w:t>
      </w:r>
      <w:r w:rsidRPr="00102DF1">
        <w:rPr>
          <w:rFonts w:asciiTheme="minorHAnsi" w:hAnsiTheme="minorHAnsi" w:cstheme="minorHAnsi"/>
          <w:b/>
          <w:smallCaps/>
          <w:color w:val="0D0D0D" w:themeColor="text1" w:themeTint="F2"/>
          <w:spacing w:val="10"/>
          <w:sz w:val="28"/>
          <w:u w:val="single"/>
        </w:rPr>
        <w:t xml:space="preserve"> with </w:t>
      </w:r>
      <w:r>
        <w:rPr>
          <w:rFonts w:asciiTheme="minorHAnsi" w:hAnsiTheme="minorHAnsi" w:cstheme="minorHAnsi"/>
          <w:b/>
          <w:smallCaps/>
          <w:color w:val="0D0D0D" w:themeColor="text1" w:themeTint="F2"/>
          <w:spacing w:val="10"/>
          <w:sz w:val="28"/>
          <w:u w:val="single"/>
        </w:rPr>
        <w:t xml:space="preserve">E</w:t>
      </w:r>
      <w:r w:rsidRPr="00102DF1">
        <w:rPr>
          <w:rFonts w:asciiTheme="minorHAnsi" w:hAnsiTheme="minorHAnsi" w:cstheme="minorHAnsi"/>
          <w:b/>
          <w:smallCaps/>
          <w:color w:val="0D0D0D" w:themeColor="text1" w:themeTint="F2"/>
          <w:spacing w:val="10"/>
          <w:sz w:val="28"/>
          <w:u w:val="single"/>
        </w:rPr>
        <w:t xml:space="preserve">vidence of </w:t>
      </w:r>
      <w:r>
        <w:rPr>
          <w:rFonts w:asciiTheme="minorHAnsi" w:hAnsiTheme="minorHAnsi" w:cstheme="minorHAnsi"/>
          <w:b/>
          <w:smallCaps/>
          <w:color w:val="0D0D0D" w:themeColor="text1" w:themeTint="F2"/>
          <w:spacing w:val="10"/>
          <w:sz w:val="28"/>
          <w:u w:val="single"/>
        </w:rPr>
        <w:t xml:space="preserve">C</w:t>
      </w:r>
      <w:r w:rsidRPr="00102DF1">
        <w:rPr>
          <w:rFonts w:asciiTheme="minorHAnsi" w:hAnsiTheme="minorHAnsi" w:cstheme="minorHAnsi"/>
          <w:b/>
          <w:smallCaps/>
          <w:color w:val="0D0D0D" w:themeColor="text1" w:themeTint="F2"/>
          <w:spacing w:val="10"/>
          <w:sz w:val="28"/>
          <w:u w:val="single"/>
        </w:rPr>
        <w:t xml:space="preserve">linical </w:t>
      </w:r>
      <w:r>
        <w:rPr>
          <w:rFonts w:asciiTheme="minorHAnsi" w:hAnsiTheme="minorHAnsi" w:cstheme="minorHAnsi"/>
          <w:b/>
          <w:smallCaps/>
          <w:color w:val="0D0D0D" w:themeColor="text1" w:themeTint="F2"/>
          <w:spacing w:val="10"/>
          <w:sz w:val="28"/>
          <w:u w:val="single"/>
        </w:rPr>
        <w:t xml:space="preserve">S</w:t>
      </w:r>
      <w:r w:rsidRPr="00102DF1">
        <w:rPr>
          <w:rFonts w:asciiTheme="minorHAnsi" w:hAnsiTheme="minorHAnsi" w:cstheme="minorHAnsi"/>
          <w:b/>
          <w:smallCaps/>
          <w:color w:val="0D0D0D" w:themeColor="text1" w:themeTint="F2"/>
          <w:spacing w:val="10"/>
          <w:sz w:val="28"/>
          <w:u w:val="single"/>
        </w:rPr>
        <w:t xml:space="preserve">ignificance</w:t>
      </w:r>
      <w:r w:rsidRPr="00102DF1">
        <w:rPr>
          <w:rFonts w:asciiTheme="minorHAnsi" w:hAnsiTheme="minorHAnsi" w:cstheme="minorHAnsi"/>
          <w:b/>
          <w:bCs/>
          <w:color w:val="000000" w:themeColor="text1"/>
          <w:u w:val="single"/>
        </w:rPr>
        <w:tab/>
      </w:r>
      <w:r w:rsidRPr="00102DF1">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p>
    <w:p w14:paraId="248C31A0" w14:textId="768C746C" w:rsidR="00A52D9E" w:rsidRPr="00A52D9E" w:rsidRDefault="00A52D9E" w:rsidP="00A52D9E">
      <w:pPr>
        <w:spacing w:after="0"/>
        <w:rPr>
          <w:sz w:val="16"/>
          <w:szCs w:val="16"/>
        </w:rPr>
      </w:pPr>
      <w:r>
        <w:rPr>
          <w:sz w:val="16"/>
          <w:szCs w:val="16"/>
        </w:rPr>
        <w:t/>
      </w:r>
      <w:r w:rsidR="00D855D7" w:rsidRPr="00D855D7">
        <w:rPr>
          <w:sz w:val="16"/>
          <w:szCs w:val="16"/>
        </w:rPr>
        <w:t/>
      </w:r>
      <w:r>
        <w:rPr>
          <w:sz w:val="16"/>
          <w:szCs w:val="16"/>
        </w:rPr>
        <w:t/>
      </w:r>
    </w:p>
    <w:p w14:paraId="316A6C1D" w14:textId="77777777" w:rsidR="00785D7D" w:rsidRPr="00D7205E" w:rsidRDefault="00785D7D" w:rsidP="00785D7D">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Genomic Findings with Clinical Evidence</w:t>
      </w:r>
    </w:p>
    <w:tbl>
      <w:tblPr>
        <w:tblStyle w:val="ListTable6Colorful-Accent3"/>
        <w:tblpPr w:leftFromText="180" w:rightFromText="180" w:vertAnchor="text" w:tblpX="108" w:tblpY="1"/>
        <w:tblW w:w="10800" w:type="dxa"/>
        <w:tblLayout w:type="fixed"/>
        <w:tblLook w:val="04A0" w:firstRow="1" w:lastRow="0" w:firstColumn="1" w:lastColumn="0" w:noHBand="0" w:noVBand="1"/>
      </w:tblPr>
      <w:tblGrid>
        <w:gridCol w:w="1620"/>
        <w:gridCol w:w="2306"/>
        <w:gridCol w:w="2340"/>
        <w:gridCol w:w="1530"/>
        <w:gridCol w:w="3004"/>
      </w:tblGrid>
      <w:tr w:rsidR="00785D7D" w:rsidRPr="00D7205E" w14:paraId="41ABF9F6" w14:textId="77777777" w:rsidTr="003302E6">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5AC266BB" w14:textId="77777777" w:rsidR="00785D7D" w:rsidRPr="00D7205E" w:rsidRDefault="00785D7D" w:rsidP="003302E6">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2306" w:type="dxa"/>
          </w:tcPr>
          <w:p w14:paraId="6EEBF7BC" w14:textId="77777777" w:rsidR="00785D7D" w:rsidRPr="00D7205E"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Pr>
                <w:rFonts w:cstheme="minorHAnsi"/>
                <w:smallCaps/>
                <w:color w:val="0D0D0D" w:themeColor="text1" w:themeTint="F2"/>
              </w:rPr>
              <w:t xml:space="preserve">FDA-Approved Therapies</w:t>
            </w:r>
          </w:p>
          <w:p w14:paraId="6D8BE566" w14:textId="77777777" w:rsidR="00785D7D" w:rsidRPr="000E399D"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sidRPr="000E399D">
              <w:rPr>
                <w:rFonts w:cstheme="minorHAnsi"/>
                <w:b w:val="0"/>
                <w:bCs w:val="0"/>
                <w:smallCaps/>
                <w:color w:val="0D0D0D" w:themeColor="text1" w:themeTint="F2"/>
              </w:rPr>
              <w:t xml:space="preserve">in Patient’s Tumor Type</w:t>
            </w:r>
          </w:p>
        </w:tc>
        <w:tc>
          <w:tcPr>
            <w:tcW w:w="2340" w:type="dxa"/>
          </w:tcPr>
          <w:p w14:paraId="2AEC6EDF" w14:textId="77777777" w:rsidR="00785D7D" w:rsidRPr="000E399D"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Pr>
                <w:rFonts w:cstheme="minorHAnsi"/>
                <w:smallCaps/>
                <w:color w:val="0D0D0D" w:themeColor="text1" w:themeTint="F2"/>
              </w:rPr>
              <w:t xml:space="preserve">Therapies of Potential Significance</w:t>
            </w:r>
          </w:p>
        </w:tc>
        <w:tc>
          <w:tcPr>
            <w:tcW w:w="1530" w:type="dxa"/>
          </w:tcPr>
          <w:p w14:paraId="4B661B61" w14:textId="77777777" w:rsidR="00785D7D"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Resistance</w:t>
            </w:r>
          </w:p>
        </w:tc>
        <w:tc>
          <w:tcPr>
            <w:tcW w:w="3004" w:type="dxa"/>
          </w:tcPr>
          <w:p w14:paraId="27354530" w14:textId="77777777" w:rsidR="00785D7D" w:rsidRPr="00D7205E"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Potential Clinical Trials</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ALK Negative Finding (NF)</w:t>
            </w:r>
            <w:r>
              <w:br/>
            </w:r>
            <w:r>
              <w:rPr>
                <w:sz w:val="20"/>
                <w:szCs w:val="20"/>
              </w:rPr>
              <w:t xml:space="preserve">EGFR Negative Finding (NF)</w:t>
            </w:r>
            <w:r>
              <w:br/>
            </w:r>
            <w:r>
              <w:rPr>
                <w:sz w:val="20"/>
                <w:szCs w:val="20"/>
              </w:rPr>
              <w:t xml:space="preserve">ROS1 Negative Finding (NF)</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Cemiplimab-rwlc, Durvalumab + Tremelimumab, Nivolumab + Ipilimumab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ALK Negative Finding (NF)</w:t>
            </w:r>
            <w:r>
              <w:br/>
            </w:r>
            <w:r>
              <w:rPr>
                <w:sz w:val="20"/>
                <w:szCs w:val="20"/>
              </w:rPr>
              <w:t xml:space="preserve">EGFR Negative Finding (NF)</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Durvalumab + Tremelimumab, Nivolumab + Ipilimumab </w:t>
            </w:r>
            <w:r>
              <w:rPr>
                <w:sz w:val="20"/>
                <w:szCs w:val="20"/>
                <w:color w:val="70AD47"/>
              </w:rPr>
              <w:t xml:space="preserve">(1A)</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Unspecified</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Atezolizumab, Durvalumab, Nivolumab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Yes, see clinical trials section</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Unspecified</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Afatinib, Atezolizumab, Bevacizumab, Durvalumab, Necitumumab, Nivolumab, Ramucirumab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BRAF V600E</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Dabrafenib, Dabrafenib + Trametinib, Vemurafenib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Dabrafenib + Trametinib, Encorafenib + Binimetinib </w:t>
            </w:r>
            <w:r>
              <w:rPr>
                <w:sz w:val="20"/>
                <w:szCs w:val="20"/>
                <w:color w:val="FFC000"/>
              </w:rPr>
              <w:t xml:space="preserve">(2C)</w:t>
            </w:r>
            <w:r>
              <w:br/>
            </w:r>
            <w:r>
              <w:rPr>
                <w:sz w:val="20"/>
                <w:szCs w:val="20"/>
              </w:rPr>
              <w:t xml:space="preserve">Vemurafenib + Rituximab </w:t>
            </w:r>
            <w:r>
              <w:rPr>
                <w:sz w:val="20"/>
                <w:szCs w:val="20"/>
                <w:color w:val="FFC000"/>
              </w:rPr>
              <w:t xml:space="preserve">(2C)</w:t>
            </w:r>
            <w:r>
              <w:br/>
            </w:r>
            <w:r>
              <w:rPr>
                <w:sz w:val="20"/>
                <w:szCs w:val="20"/>
              </w:rPr>
              <w:t xml:space="preserve">Encorafenib + Cetuximab, Encorafenib + Panitumumab </w:t>
            </w:r>
            <w:r>
              <w:rPr>
                <w:sz w:val="20"/>
                <w:szCs w:val="20"/>
                <w:color w:val="FFC000"/>
              </w:rPr>
              <w:t xml:space="preserve">(2C)</w:t>
            </w:r>
            <w:r>
              <w:br/>
            </w:r>
            <w:r>
              <w:rPr>
                <w:sz w:val="20"/>
                <w:szCs w:val="20"/>
              </w:rPr>
              <w:t xml:space="preserve">Vemurafenib + Cobimetinib </w:t>
            </w:r>
            <w:r>
              <w:rPr>
                <w:sz w:val="20"/>
                <w:szCs w:val="20"/>
                <w:color w:val="FFC000"/>
              </w:rPr>
              <w:t xml:space="preserve">(2C)</w:t>
            </w:r>
            <w:r>
              <w:br/>
            </w:r>
            <w:r>
              <w:rPr>
                <w:sz w:val="20"/>
                <w:szCs w:val="20"/>
              </w:rPr>
              <w:t xml:space="preserve">Trametinib, Vemurafenib + Cobimetinib, Vemurafenib + Cobimetinib + Atezolizumab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Dabrafenib + Trametinib </w:t>
            </w:r>
            <w:r>
              <w:rPr>
                <w:sz w:val="20"/>
                <w:szCs w:val="20"/>
                <w:color w:val="FFC000"/>
              </w:rPr>
              <w:t xml:space="preserve">(2D)</w:t>
            </w:r>
            <w:r>
              <w:br/>
            </w:r>
            <w:r>
              <w:rPr>
                <w:sz w:val="20"/>
                <w:szCs w:val="20"/>
              </w:rPr>
              <w:t xml:space="preserve">Cetuximab, Panitumumab, Trametinib </w:t>
            </w:r>
            <w:r>
              <w:rPr>
                <w:sz w:val="20"/>
                <w:szCs w:val="20"/>
                <w:color w:val="FFC000"/>
              </w:rPr>
              <w:t xml:space="preserve">(2C)</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Yes, see clinical trials section</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ERBB2 Amplification</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Ado-trastuzumab emtansine, Fam-trastuzumab deruxtecan-nxki </w:t>
            </w:r>
            <w:r>
              <w:rPr>
                <w:sz w:val="20"/>
                <w:szCs w:val="20"/>
                <w:color w:val="70AD47"/>
              </w:rPr>
              <w:t xml:space="preserve">(1A)</w:t>
            </w:r>
            <w:r>
              <w:br/>
            </w:r>
            <w:r>
              <w:rPr>
                <w:sz w:val="20"/>
                <w:szCs w:val="20"/>
              </w:rPr>
              <w:t xml:space="preserve">Ado-trastuzumab emtansine, Fam-trastuzumab deruxtecan-nxki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Trastuzumab, Trastuzumab + Pembrolizumab </w:t>
            </w:r>
            <w:r>
              <w:rPr>
                <w:sz w:val="20"/>
                <w:szCs w:val="20"/>
                <w:color w:val="FFC000"/>
              </w:rPr>
              <w:t xml:space="preserve">(2C)</w:t>
            </w:r>
            <w:r>
              <w:br/>
            </w:r>
            <w:r>
              <w:rPr>
                <w:sz w:val="20"/>
                <w:szCs w:val="20"/>
              </w:rPr>
              <w:t xml:space="preserve">Fam-trastuzumab deruxtecan, Trastuzumab, Trastuzumab + Pembrolizumab </w:t>
            </w:r>
            <w:r>
              <w:rPr>
                <w:sz w:val="20"/>
                <w:szCs w:val="20"/>
                <w:color w:val="FFC000"/>
              </w:rPr>
              <w:t xml:space="preserve">(2C)</w:t>
            </w:r>
            <w:r>
              <w:br/>
            </w:r>
            <w:r>
              <w:rPr>
                <w:sz w:val="20"/>
                <w:szCs w:val="20"/>
              </w:rPr>
              <w:t xml:space="preserve">Lapatinib, Margetuximab-cmkb, Neratinib, Trastuzumab, Trastuzumab + Lapatinib, Trastuzumab + Pertuzumab, Trastuzumab + Tucatinib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Afatinib, Trastuzumab </w:t>
            </w:r>
            <w:r>
              <w:rPr>
                <w:sz w:val="20"/>
                <w:szCs w:val="20"/>
                <w:color w:val="70AD47"/>
              </w:rPr>
              <w:t xml:space="preserve">(1A)</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Yes, see clinical trials section</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PIK3CA Amplification</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Alpelisib + Fulvestrant, Everolimus + Exemestane, Fulvestrant </w:t>
            </w:r>
            <w:r>
              <w:rPr>
                <w:sz w:val="20"/>
                <w:szCs w:val="20"/>
                <w:color w:val="FFC000"/>
              </w:rPr>
              <w:t xml:space="preserve">(2C)</w:t>
            </w:r>
            <w:r>
              <w:br/>
            </w:r>
            <w:r>
              <w:rPr>
                <w:sz w:val="20"/>
                <w:szCs w:val="20"/>
              </w:rPr>
              <w:t xml:space="preserve">Alpelisib + Fulvestrant, Everolimus + Exemestane, Fulvestrant </w:t>
            </w:r>
            <w:r>
              <w:rPr>
                <w:sz w:val="20"/>
                <w:szCs w:val="20"/>
                <w:color w:val="FFC000"/>
              </w:rPr>
              <w:t xml:space="preserve">(2C)</w:t>
            </w:r>
            <w:r>
              <w:br/>
            </w:r>
            <w:r>
              <w:rPr>
                <w:sz w:val="20"/>
                <w:szCs w:val="20"/>
              </w:rPr>
              <w:t xml:space="preserve">Alpelisib + Fulvestrant, Everolimus + Exemestane, Fulvestrant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TMB High</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Pembrolizumab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MSI High</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Pembrolizumab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Dostarlimab-gxly </w:t>
            </w:r>
            <w:r>
              <w:rPr>
                <w:sz w:val="20"/>
                <w:szCs w:val="20"/>
                <w:color w:val="FFC000"/>
              </w:rPr>
              <w:t xml:space="preserve">(2C)</w:t>
            </w:r>
            <w:r>
              <w:br/>
            </w:r>
            <w:r>
              <w:rPr>
                <w:sz w:val="20"/>
                <w:szCs w:val="20"/>
              </w:rPr>
              <w:t xml:space="preserve">Avelumab </w:t>
            </w:r>
            <w:r>
              <w:rPr>
                <w:sz w:val="20"/>
                <w:szCs w:val="20"/>
                <w:color w:val="FFC000"/>
              </w:rPr>
              <w:t xml:space="preserve">(2C)</w:t>
            </w:r>
            <w:r>
              <w:br/>
            </w:r>
            <w:r>
              <w:rPr>
                <w:sz w:val="20"/>
                <w:szCs w:val="20"/>
              </w:rPr>
              <w:t xml:space="preserve">Dostarlimab-gxly </w:t>
            </w:r>
            <w:r>
              <w:rPr>
                <w:sz w:val="20"/>
                <w:szCs w:val="20"/>
                <w:color w:val="FFC000"/>
              </w:rPr>
              <w:t xml:space="preserve">(2C)</w:t>
            </w:r>
            <w:r>
              <w:br/>
            </w:r>
            <w:r>
              <w:rPr>
                <w:sz w:val="20"/>
                <w:szCs w:val="20"/>
              </w:rPr>
              <w:t xml:space="preserve">Avelumab </w:t>
            </w:r>
            <w:r>
              <w:rPr>
                <w:sz w:val="20"/>
                <w:szCs w:val="20"/>
                <w:color w:val="FFC000"/>
              </w:rPr>
              <w:t xml:space="preserve">(2C)</w:t>
            </w:r>
            <w:r>
              <w:br/>
            </w:r>
            <w:r>
              <w:rPr>
                <w:sz w:val="20"/>
                <w:szCs w:val="20"/>
              </w:rPr>
              <w:t xml:space="preserve">Dostarlimab-gxly </w:t>
            </w:r>
            <w:r>
              <w:rPr>
                <w:sz w:val="20"/>
                <w:szCs w:val="20"/>
                <w:color w:val="FFC000"/>
              </w:rPr>
              <w:t xml:space="preserve">(2C)</w:t>
            </w:r>
            <w:r>
              <w:br/>
            </w:r>
            <w:r>
              <w:rPr>
                <w:sz w:val="20"/>
                <w:szCs w:val="20"/>
              </w:rPr>
              <w:t xml:space="preserve">Avelumab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HRD Positive</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Olaparib, Talazoparib </w:t>
            </w:r>
            <w:r>
              <w:rPr>
                <w:sz w:val="20"/>
                <w:szCs w:val="20"/>
                <w:color w:val="FFC000"/>
              </w:rPr>
              <w:t xml:space="preserve">(2C)</w:t>
            </w:r>
            <w:r>
              <w:br/>
            </w:r>
            <w:r>
              <w:rPr>
                <w:sz w:val="20"/>
                <w:szCs w:val="20"/>
              </w:rPr>
              <w:t xml:space="preserve">Niraparib, Olaparib, Olaparib + Bevacizumab, Rucaparib </w:t>
            </w:r>
            <w:r>
              <w:rPr>
                <w:sz w:val="20"/>
                <w:szCs w:val="20"/>
                <w:color w:val="FFC000"/>
              </w:rPr>
              <w:t xml:space="preserve">(2C)</w:t>
            </w:r>
            <w:r>
              <w:br/>
            </w:r>
            <w:r>
              <w:rPr>
                <w:sz w:val="20"/>
                <w:szCs w:val="20"/>
              </w:rPr>
              <w:t xml:space="preserve">Olaparib </w:t>
            </w:r>
            <w:r>
              <w:rPr>
                <w:sz w:val="20"/>
                <w:szCs w:val="20"/>
                <w:color w:val="FFC000"/>
              </w:rPr>
              <w:t xml:space="preserve">(2C)</w:t>
            </w:r>
            <w:r>
              <w:br/>
            </w:r>
            <w:r>
              <w:rPr>
                <w:sz w:val="20"/>
                <w:szCs w:val="20"/>
              </w:rPr>
              <w:t xml:space="preserve">Olaparib, Rucaparib </w:t>
            </w:r>
            <w:r>
              <w:rPr>
                <w:sz w:val="20"/>
                <w:szCs w:val="20"/>
                <w:color w:val="FFC000"/>
              </w:rPr>
              <w:t xml:space="preserve">(2C)</w:t>
            </w:r>
            <w:r>
              <w:br/>
            </w:r>
            <w:r>
              <w:rPr>
                <w:sz w:val="20"/>
                <w:szCs w:val="20"/>
              </w:rPr>
              <w:t xml:space="preserve">Olaparib, Talazoparib </w:t>
            </w:r>
            <w:r>
              <w:rPr>
                <w:sz w:val="20"/>
                <w:szCs w:val="20"/>
                <w:color w:val="FFC000"/>
              </w:rPr>
              <w:t xml:space="preserve">(2C)</w:t>
            </w:r>
            <w:r>
              <w:br/>
            </w:r>
            <w:r>
              <w:rPr>
                <w:sz w:val="20"/>
                <w:szCs w:val="20"/>
              </w:rPr>
              <w:t xml:space="preserve">Niraparib, Olaparib, Olaparib + Bevacizumab, Rucaparib </w:t>
            </w:r>
            <w:r>
              <w:rPr>
                <w:sz w:val="20"/>
                <w:szCs w:val="20"/>
                <w:color w:val="FFC000"/>
              </w:rPr>
              <w:t xml:space="preserve">(2C)</w:t>
            </w:r>
            <w:r>
              <w:br/>
            </w:r>
            <w:r>
              <w:rPr>
                <w:sz w:val="20"/>
                <w:szCs w:val="20"/>
              </w:rPr>
              <w:t xml:space="preserve">Olaparib </w:t>
            </w:r>
            <w:r>
              <w:rPr>
                <w:sz w:val="20"/>
                <w:szCs w:val="20"/>
                <w:color w:val="FFC000"/>
              </w:rPr>
              <w:t xml:space="preserve">(2C)</w:t>
            </w:r>
            <w:r>
              <w:br/>
            </w:r>
            <w:r>
              <w:rPr>
                <w:sz w:val="20"/>
                <w:szCs w:val="20"/>
              </w:rPr>
              <w:t xml:space="preserve">Olaparib, Rucaparib </w:t>
            </w:r>
            <w:r>
              <w:rPr>
                <w:sz w:val="20"/>
                <w:szCs w:val="20"/>
                <w:color w:val="FFC000"/>
              </w:rPr>
              <w:t xml:space="preserve">(2C)</w:t>
            </w:r>
            <w:r>
              <w:br/>
            </w:r>
            <w:r>
              <w:rPr>
                <w:sz w:val="20"/>
                <w:szCs w:val="20"/>
              </w:rPr>
              <w:t xml:space="preserve">Olaparib, Talazoparib </w:t>
            </w:r>
            <w:r>
              <w:rPr>
                <w:sz w:val="20"/>
                <w:szCs w:val="20"/>
                <w:color w:val="FFC000"/>
              </w:rPr>
              <w:t xml:space="preserve">(2C)</w:t>
            </w:r>
            <w:r>
              <w:br/>
            </w:r>
            <w:r>
              <w:rPr>
                <w:sz w:val="20"/>
                <w:szCs w:val="20"/>
              </w:rPr>
              <w:t xml:space="preserve">Niraparib, Olaparib, Olaparib + Bevacizumab, Rucaparib </w:t>
            </w:r>
            <w:r>
              <w:rPr>
                <w:sz w:val="20"/>
                <w:szCs w:val="20"/>
                <w:color w:val="FFC000"/>
              </w:rPr>
              <w:t xml:space="preserve">(2C)</w:t>
            </w:r>
            <w:r>
              <w:br/>
            </w:r>
            <w:r>
              <w:rPr>
                <w:sz w:val="20"/>
                <w:szCs w:val="20"/>
              </w:rPr>
              <w:t xml:space="preserve">Olaparib </w:t>
            </w:r>
            <w:r>
              <w:rPr>
                <w:sz w:val="20"/>
                <w:szCs w:val="20"/>
                <w:color w:val="FFC000"/>
              </w:rPr>
              <w:t xml:space="preserve">(2C)</w:t>
            </w:r>
            <w:r>
              <w:br/>
            </w:r>
            <w:r>
              <w:rPr>
                <w:sz w:val="20"/>
                <w:szCs w:val="20"/>
              </w:rPr>
              <w:t xml:space="preserve">Olaparib, Rucaparib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bl>
    <w:p w14:paraId="18E0C0B1" w14:textId="59F9E6E6" w:rsidR="00785D7D" w:rsidRPr="00102DF1" w:rsidRDefault="00A52D9E" w:rsidP="00785D7D">
      <w:pPr>
        <w:rPr>
          <w:rFonts w:cstheme="minorHAnsi"/>
        </w:rPr>
      </w:pPr>
      <w:r>
        <w:rPr>
          <w:rFonts w:cstheme="minorHAnsi"/>
        </w:rPr>
        <w:t/>
      </w:r>
      <w:r w:rsidR="00D855D7" w:rsidRPr="00D855D7">
        <w:rPr>
          <w:rFonts w:cstheme="minorHAnsi"/>
        </w:rPr>
        <w:t/>
      </w:r>
      <w:r>
        <w:rPr>
          <w:rFonts w:cstheme="minorHAnsi"/>
        </w:rPr>
        <w:t/>
      </w:r>
    </w:p>
    <w:p w14:paraId="014D027A" w14:textId="77777777" w:rsidR="00785D7D" w:rsidRPr="00D7205E" w:rsidRDefault="00785D7D" w:rsidP="00785D7D">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 </w:t>
      </w:r>
      <w:r w:rsidRPr="0029646D">
        <w:rPr>
          <w:rFonts w:cstheme="majorHAnsi"/>
          <w:b/>
          <w:smallCaps/>
          <w:color w:val="FFFFFF" w:themeColor="background1"/>
          <w:spacing w:val="10"/>
        </w:rPr>
        <w:t xml:space="preserve"> </w:t>
      </w:r>
      <w:r>
        <w:rPr>
          <w:rFonts w:cstheme="majorHAnsi"/>
          <w:b/>
          <w:smallCaps/>
          <w:color w:val="FFFFFF" w:themeColor="background1"/>
          <w:spacing w:val="10"/>
        </w:rPr>
        <w:t xml:space="preserve">Genomic Findings with Prognostic or Diagnostic Evidence</w:t>
      </w:r>
    </w:p>
    <w:tbl>
      <w:tblPr>
        <w:tblStyle w:val="ListTable6Colorful-Accent3"/>
        <w:tblpPr w:leftFromText="180" w:rightFromText="180" w:vertAnchor="text" w:tblpX="108" w:tblpY="1"/>
        <w:tblOverlap w:val="never"/>
        <w:tblW w:w="10776" w:type="dxa"/>
        <w:tblLayout w:type="fixed"/>
        <w:tblLook w:val="04A0" w:firstRow="1" w:lastRow="0" w:firstColumn="1" w:lastColumn="0" w:noHBand="0" w:noVBand="1"/>
      </w:tblPr>
      <w:tblGrid>
        <w:gridCol w:w="2064"/>
        <w:gridCol w:w="2824"/>
        <w:gridCol w:w="2738"/>
        <w:gridCol w:w="3150"/>
      </w:tblGrid>
      <w:tr w:rsidR="00785D7D" w14:paraId="424F6398" w14:textId="77777777" w:rsidTr="00545CC8">
        <w:trPr>
          <w:cnfStyle w:val="100000000000" w:firstRow="1" w:lastRow="0" w:firstColumn="0" w:lastColumn="0" w:oddVBand="0" w:evenVBand="0" w:oddHBand="0"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bottom"/>
          </w:tcPr>
          <w:p w14:paraId="0264A0F8" w14:textId="77777777" w:rsidR="00785D7D" w:rsidRPr="00D7205E" w:rsidRDefault="00785D7D" w:rsidP="00545CC8">
            <w:pPr>
              <w:rPr>
                <w:rFonts w:cstheme="minorHAnsi"/>
                <w:color w:val="0D0D0D" w:themeColor="text1" w:themeTint="F2"/>
                <w:sz w:val="20"/>
                <w:szCs w:val="20"/>
              </w:rPr>
            </w:pPr>
            <w:r w:rsidRPr="00D7205E">
              <w:rPr>
                <w:rFonts w:cstheme="minorHAnsi"/>
                <w:smallCaps/>
                <w:color w:val="0D0D0D" w:themeColor="text1" w:themeTint="F2"/>
              </w:rPr>
              <w:t xml:space="preserve">Gene</w:t>
            </w:r>
          </w:p>
        </w:tc>
        <w:tc>
          <w:tcPr>
            <w:tcW w:w="2824" w:type="dxa"/>
            <w:vAlign w:val="bottom"/>
          </w:tcPr>
          <w:p w14:paraId="698008BC" w14:textId="77777777" w:rsidR="00785D7D" w:rsidRPr="00D7205E" w:rsidRDefault="00785D7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Description</w:t>
            </w:r>
          </w:p>
        </w:tc>
        <w:tc>
          <w:tcPr>
            <w:tcW w:w="2738" w:type="dxa"/>
            <w:vAlign w:val="bottom"/>
          </w:tcPr>
          <w:p w14:paraId="6FDBF3F0" w14:textId="77777777" w:rsidR="00785D7D" w:rsidRPr="00D7205E" w:rsidRDefault="00785D7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Location</w:t>
            </w:r>
          </w:p>
        </w:tc>
        <w:tc>
          <w:tcPr>
            <w:tcW w:w="3150" w:type="dxa"/>
            <w:vAlign w:val="bottom"/>
          </w:tcPr>
          <w:p w14:paraId="642A3566" w14:textId="77777777" w:rsidR="00785D7D" w:rsidRPr="00D7205E" w:rsidRDefault="00785D7D" w:rsidP="00545CC8">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785D7D" w14:paraId="658AFA45" w14:textId="77777777" w:rsidTr="00545CC8">
        <w:trPr>
          <w:cnfStyle w:val="000000100000" w:firstRow="0" w:lastRow="0" w:firstColumn="0" w:lastColumn="0" w:oddVBand="0" w:evenVBand="0" w:oddHBand="1"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center"/>
          </w:tcPr>
          <w:p w14:paraId="7AAC9A61" w14:textId="77777777" w:rsidR="00785D7D" w:rsidRPr="00C35069" w:rsidRDefault="00785D7D" w:rsidP="00545CC8">
            <w:pPr>
              <w:rPr>
                <w:rFonts w:cstheme="minorHAnsi"/>
                <w:smallCaps/>
              </w:rPr>
            </w:pPr>
            <w:r w:rsidRPr="00C35069">
              <w:rPr>
                <w:b w:val="0"/>
                <w:i/>
                <w:sz w:val="20"/>
                <w:szCs w:val="20"/>
              </w:rPr>
              <w:lastRenderedPageBreak/>
              <w:t xml:space="preserve">BRAF</w:t>
            </w:r>
          </w:p>
        </w:tc>
        <w:tc>
          <w:tcPr>
            <w:tcW w:w="2824" w:type="dxa"/>
            <w:vAlign w:val="center"/>
          </w:tcPr>
          <w:p w14:paraId="4AAB651D"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Val600Glu</w:t>
            </w:r>
          </w:p>
        </w:tc>
        <w:tc>
          <w:tcPr>
            <w:tcW w:w="2738" w:type="dxa"/>
            <w:vAlign w:val="center"/>
          </w:tcPr>
          <w:p w14:paraId="2C52D657"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Exon 15</w:t>
            </w:r>
          </w:p>
        </w:tc>
        <w:tc>
          <w:tcPr>
            <w:tcW w:w="3150" w:type="dxa"/>
            <w:vAlign w:val="center"/>
          </w:tcPr>
          <w:p w14:paraId="00F5820E"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color w:val="FFC000"/>
              </w:rPr>
              <w:t xml:space="preserve">Prognostic Tier II - Level C</w:t>
            </w:r>
            <w:r>
              <w:br/>
            </w:r>
            <w:r>
              <w:rPr>
                <w:sz w:val="20"/>
                <w:szCs w:val="20"/>
                <w:color w:val="70AD47"/>
              </w:rPr>
              <w:t xml:space="preserve">Diagnostic Tier I - Level A</w:t>
            </w:r>
          </w:p>
        </w:tc>
      </w:tr>
      <w:tr w:rsidR="00785D7D" w14:paraId="658AFA45" w14:textId="77777777" w:rsidTr="00545CC8">
        <w:trPr>
          <w:cnfStyle w:val="000000100000" w:firstRow="0" w:lastRow="0" w:firstColumn="0" w:lastColumn="0" w:oddVBand="0" w:evenVBand="0" w:oddHBand="1"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center"/>
          </w:tcPr>
          <w:p w14:paraId="7AAC9A61" w14:textId="77777777" w:rsidR="00785D7D" w:rsidRPr="00C35069" w:rsidRDefault="00785D7D" w:rsidP="00545CC8">
            <w:pPr>
              <w:rPr>
                <w:rFonts w:cstheme="minorHAnsi"/>
                <w:smallCaps/>
              </w:rPr>
            </w:pPr>
            <w:r w:rsidRPr="00C35069">
              <w:rPr>
                <w:b w:val="0"/>
                <w:i/>
                <w:sz w:val="20"/>
                <w:szCs w:val="20"/>
              </w:rPr>
              <w:lastRenderedPageBreak/>
              <w:t xml:space="preserve">ERBB2</w:t>
            </w:r>
          </w:p>
        </w:tc>
        <w:tc>
          <w:tcPr>
            <w:tcW w:w="2824" w:type="dxa"/>
            <w:vAlign w:val="center"/>
          </w:tcPr>
          <w:p w14:paraId="4AAB651D"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Amplification</w:t>
            </w:r>
          </w:p>
        </w:tc>
        <w:tc>
          <w:tcPr>
            <w:tcW w:w="2738" w:type="dxa"/>
            <w:vAlign w:val="center"/>
          </w:tcPr>
          <w:p w14:paraId="2C52D657"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Amplification</w:t>
            </w:r>
          </w:p>
        </w:tc>
        <w:tc>
          <w:tcPr>
            <w:tcW w:w="3150" w:type="dxa"/>
            <w:vAlign w:val="center"/>
          </w:tcPr>
          <w:p w14:paraId="00F5820E"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color w:val="70AD47"/>
              </w:rPr>
              <w:t xml:space="preserve">Prognostic Tier I - Level B</w:t>
            </w:r>
            <w:r>
              <w:br/>
            </w:r>
            <w:r>
              <w:rPr>
                <w:sz w:val="20"/>
                <w:szCs w:val="20"/>
                <w:color w:val="70AD47"/>
              </w:rPr>
              <w:t xml:space="preserve">Diagnostic Tier I - Level A</w:t>
            </w:r>
          </w:p>
        </w:tc>
      </w:tr>
    </w:tbl>
    <w:p w14:paraId="340FD8D2" w14:textId="7FE8B531" w:rsidR="00407CE3" w:rsidRPr="00A52D9E" w:rsidRDefault="00A52D9E" w:rsidP="00BE7E03">
      <w:pPr>
        <w:rPr>
          <w:rFonts w:cstheme="minorHAnsi"/>
          <w:color w:val="000000" w:themeColor="text1"/>
        </w:rPr>
      </w:pPr>
      <w:r w:rsidRPr="00A52D9E">
        <w:rPr>
          <w:rFonts w:cstheme="minorHAnsi"/>
          <w:color w:val="000000" w:themeColor="text1"/>
        </w:rPr>
        <w:t/>
      </w:r>
      <w:r w:rsidR="0063144D">
        <w:rPr>
          <w:rFonts w:cstheme="minorHAnsi"/>
          <w:color w:val="000000" w:themeColor="text1"/>
        </w:rPr>
        <w:t/>
      </w:r>
      <w:r w:rsidR="0063144D" w:rsidRPr="0063144D">
        <w:rPr>
          <w:rFonts w:cstheme="minorHAnsi"/>
          <w:color w:val="000000" w:themeColor="text1"/>
        </w:rPr>
        <w:t/>
      </w:r>
      <w:r w:rsidR="0063144D">
        <w:rPr>
          <w:rFonts w:cstheme="minorHAnsi"/>
          <w:color w:val="000000" w:themeColor="text1"/>
        </w:rPr>
        <w:t/>
      </w:r>
    </w:p>
    <w:p w14:paraId="04F7C009" w14:textId="037F05AA" w:rsidR="00BE7E03" w:rsidRPr="00D7205E" w:rsidRDefault="003B471F" w:rsidP="00BE7E03">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Somatic </w:t>
      </w:r>
      <w:r w:rsidR="00BE7E03">
        <w:rPr>
          <w:rFonts w:cstheme="majorHAnsi"/>
          <w:b/>
          <w:smallCaps/>
          <w:color w:val="FFFFFF" w:themeColor="background1"/>
          <w:spacing w:val="10"/>
        </w:rPr>
        <w:t xml:space="preserve">Variants with </w:t>
      </w:r>
      <w:r w:rsidR="00F67FF5">
        <w:rPr>
          <w:rFonts w:cstheme="majorHAnsi"/>
          <w:b/>
          <w:smallCaps/>
          <w:color w:val="FFFFFF" w:themeColor="background1"/>
          <w:spacing w:val="10"/>
        </w:rPr>
        <w:t xml:space="preserve">C</w:t>
      </w:r>
      <w:r w:rsidR="00BE7E03">
        <w:rPr>
          <w:rFonts w:cstheme="majorHAnsi"/>
          <w:b/>
          <w:smallCaps/>
          <w:color w:val="FFFFFF" w:themeColor="background1"/>
          <w:spacing w:val="10"/>
        </w:rPr>
        <w:t xml:space="preserve">linical </w:t>
      </w:r>
      <w:r w:rsidR="00F67FF5">
        <w:rPr>
          <w:rFonts w:cstheme="majorHAnsi"/>
          <w:b/>
          <w:smallCaps/>
          <w:color w:val="FFFFFF" w:themeColor="background1"/>
          <w:spacing w:val="10"/>
        </w:rPr>
        <w:t xml:space="preserve">E</w:t>
      </w:r>
      <w:r w:rsidR="00BE7E03">
        <w:rPr>
          <w:rFonts w:cstheme="majorHAnsi"/>
          <w:b/>
          <w:smallCaps/>
          <w:color w:val="FFFFFF" w:themeColor="background1"/>
          <w:spacing w:val="10"/>
        </w:rPr>
        <w:t xml:space="preserve">vidence</w:t>
      </w:r>
    </w:p>
    <w:tbl>
      <w:tblPr>
        <w:tblStyle w:val="ListTable6Colorful-Accent3"/>
        <w:tblpPr w:leftFromText="180" w:rightFromText="180" w:vertAnchor="text" w:tblpX="126" w:tblpY="1"/>
        <w:tblOverlap w:val="never"/>
        <w:tblW w:w="10756" w:type="dxa"/>
        <w:tblLayout w:type="fixed"/>
        <w:tblLook w:val="04A0" w:firstRow="1" w:lastRow="0" w:firstColumn="1" w:lastColumn="0" w:noHBand="0" w:noVBand="1"/>
      </w:tblPr>
      <w:tblGrid>
        <w:gridCol w:w="1867"/>
        <w:gridCol w:w="1167"/>
        <w:gridCol w:w="1844"/>
        <w:gridCol w:w="1350"/>
        <w:gridCol w:w="1800"/>
        <w:gridCol w:w="2728"/>
      </w:tblGrid>
      <w:tr w:rsidR="003061E9" w14:paraId="5AFE6498" w14:textId="367DD664" w:rsidTr="003061E9">
        <w:trPr>
          <w:cnfStyle w:val="100000000000" w:firstRow="1" w:lastRow="0" w:firstColumn="0" w:lastColumn="0" w:oddVBand="0" w:evenVBand="0" w:oddHBand="0" w:evenHBand="0" w:firstRowFirstColumn="0" w:firstRowLastColumn="0" w:lastRowFirstColumn="0" w:lastRowLastColumn="0"/>
          <w:cantSplit/>
          <w:trHeight w:val="431"/>
        </w:trPr>
        <w:tc>
          <w:tcPr>
            <w:cnfStyle w:val="001000000000" w:firstRow="0" w:lastRow="0" w:firstColumn="1" w:lastColumn="0" w:oddVBand="0" w:evenVBand="0" w:oddHBand="0" w:evenHBand="0" w:firstRowFirstColumn="0" w:firstRowLastColumn="0" w:lastRowFirstColumn="0" w:lastRowLastColumn="0"/>
            <w:tcW w:w="1867" w:type="dxa"/>
            <w:vAlign w:val="bottom"/>
          </w:tcPr>
          <w:p w14:paraId="0942BCB5" w14:textId="77777777" w:rsidR="003061E9" w:rsidRPr="00D7205E" w:rsidRDefault="003061E9" w:rsidP="003061E9">
            <w:pPr>
              <w:rPr>
                <w:rFonts w:cstheme="minorHAnsi"/>
                <w:color w:val="0D0D0D" w:themeColor="text1" w:themeTint="F2"/>
                <w:sz w:val="20"/>
                <w:szCs w:val="20"/>
              </w:rPr>
            </w:pPr>
            <w:r w:rsidRPr="00D7205E">
              <w:rPr>
                <w:rFonts w:cstheme="minorHAnsi"/>
                <w:smallCaps/>
                <w:color w:val="0D0D0D" w:themeColor="text1" w:themeTint="F2"/>
              </w:rPr>
              <w:t xml:space="preserve">Ge</w:t>
            </w:r>
            <w:r>
              <w:rPr>
                <w:rFonts w:cstheme="minorHAnsi"/>
                <w:smallCaps/>
                <w:color w:val="0D0D0D" w:themeColor="text1" w:themeTint="F2"/>
              </w:rPr>
              <w:t xml:space="preserve">nomic Finding</w:t>
            </w:r>
          </w:p>
        </w:tc>
        <w:tc>
          <w:tcPr>
            <w:tcW w:w="1167" w:type="dxa"/>
            <w:vAlign w:val="bottom"/>
          </w:tcPr>
          <w:p w14:paraId="604E14F6" w14:textId="1414AA63" w:rsidR="003061E9" w:rsidRPr="00D7205E" w:rsidRDefault="00750D4C" w:rsidP="003061E9">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VAF</w:t>
            </w:r>
          </w:p>
        </w:tc>
        <w:tc>
          <w:tcPr>
            <w:tcW w:w="1844" w:type="dxa"/>
            <w:vAlign w:val="bottom"/>
          </w:tcPr>
          <w:p w14:paraId="2E871DD3" w14:textId="77777777" w:rsidR="003061E9" w:rsidRPr="00D7205E"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Impact</w:t>
            </w:r>
          </w:p>
        </w:tc>
        <w:tc>
          <w:tcPr>
            <w:tcW w:w="1350" w:type="dxa"/>
            <w:vAlign w:val="bottom"/>
          </w:tcPr>
          <w:p w14:paraId="108FF62E" w14:textId="77777777" w:rsidR="003061E9" w:rsidRPr="00D7205E"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Location</w:t>
            </w:r>
          </w:p>
        </w:tc>
        <w:tc>
          <w:tcPr>
            <w:tcW w:w="1800" w:type="dxa"/>
            <w:vAlign w:val="bottom"/>
          </w:tcPr>
          <w:p w14:paraId="2F794951" w14:textId="77777777" w:rsidR="003061E9"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Classification</w:t>
            </w:r>
          </w:p>
        </w:tc>
        <w:tc>
          <w:tcPr>
            <w:tcW w:w="2728" w:type="dxa"/>
            <w:vAlign w:val="bottom"/>
          </w:tcPr>
          <w:p w14:paraId="08332C90" w14:textId="62B0EA51" w:rsidR="003061E9"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3061E9" w:rsidRPr="00DB7AB8" w14:paraId="045ADC29" w14:textId="704B84F1" w:rsidTr="003061E9">
        <w:trPr>
          <w:cnfStyle w:val="000000100000" w:firstRow="0" w:lastRow="0" w:firstColumn="0" w:lastColumn="0" w:oddVBand="0" w:evenVBand="0" w:oddHBand="1" w:evenHBand="0" w:firstRowFirstColumn="0" w:firstRowLastColumn="0" w:lastRowFirstColumn="0" w:lastRowLastColumn="0"/>
          <w:cantSplit/>
          <w:trHeight w:val="505"/>
        </w:trPr>
        <w:tc>
          <w:tcPr>
            <w:cnfStyle w:val="001000000000" w:firstRow="0" w:lastRow="0" w:firstColumn="1" w:lastColumn="0" w:oddVBand="0" w:evenVBand="0" w:oddHBand="0" w:evenHBand="0" w:firstRowFirstColumn="0" w:firstRowLastColumn="0" w:lastRowFirstColumn="0" w:lastRowLastColumn="0"/>
            <w:tcW w:w="1867" w:type="dxa"/>
            <w:vAlign w:val="center"/>
          </w:tcPr>
          <w:p w14:paraId="6C65EF96" w14:textId="45E5BA9C" w:rsidR="003061E9" w:rsidRPr="008545D6" w:rsidRDefault="00D70476" w:rsidP="003061E9">
            <w:pPr>
              <w:spacing w:line="276" w:lineRule="auto"/>
              <w:rPr>
                <w:bCs w:val="0"/>
                <w:i/>
                <w:color w:val="404040" w:themeColor="text1" w:themeTint="BF"/>
                <w:sz w:val="20"/>
                <w:szCs w:val="20"/>
              </w:rPr>
            </w:pPr>
            <w:r>
              <w:rPr>
                <w:bCs w:val="0"/>
                <w:i/>
                <w:color w:val="404040" w:themeColor="text1" w:themeTint="BF"/>
                <w:sz w:val="20"/>
                <w:szCs w:val="20"/>
              </w:rPr>
              <w:t/>
            </w:r>
            <w:r w:rsidRPr="00D70476">
              <w:rPr>
                <w:bCs w:val="0"/>
                <w:i/>
                <w:color w:val="404040" w:themeColor="text1" w:themeTint="BF"/>
                <w:sz w:val="20"/>
                <w:szCs w:val="20"/>
              </w:rPr>
              <w:t/>
            </w:r>
            <w:r>
              <w:rPr>
                <w:bCs w:val="0"/>
                <w:i/>
                <w:color w:val="404040" w:themeColor="text1" w:themeTint="BF"/>
                <w:sz w:val="20"/>
                <w:szCs w:val="20"/>
              </w:rPr>
              <w:t xml:space="preserve">BRAF</w:t>
            </w:r>
          </w:p>
          <w:p w14:paraId="1DA53B90" w14:textId="3106E561" w:rsidR="003061E9" w:rsidRPr="00C35069" w:rsidRDefault="00D70476" w:rsidP="003061E9">
            <w:pPr>
              <w:spacing w:line="276" w:lineRule="auto"/>
              <w:rPr>
                <w:b w:val="0"/>
                <w:iCs/>
                <w:sz w:val="20"/>
                <w:szCs w:val="20"/>
              </w:rPr>
            </w:pPr>
            <w:r w:rsidRPr="00C35069">
              <w:rPr>
                <w:b w:val="0"/>
                <w:iCs/>
                <w:sz w:val="20"/>
                <w:szCs w:val="20"/>
              </w:rPr>
              <w:t xml:space="preserve">Val600Glu</w:t>
            </w:r>
          </w:p>
        </w:tc>
        <w:tc>
          <w:tcPr>
            <w:tcW w:w="1167" w:type="dxa"/>
            <w:vAlign w:val="center"/>
          </w:tcPr>
          <w:p w14:paraId="66EAD6B5" w14:textId="59C4C4BA"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6.18%</w:t>
            </w:r>
            <w:proofErr w:type="spellStart"/>
            <w:r w:rsidR="0017031A" w:rsidRPr="00C35069">
              <w:rPr>
                <w:sz w:val="20"/>
                <w:szCs w:val="20"/>
              </w:rPr>
              <w:t/>
            </w:r>
            <w:proofErr w:type="spellEnd"/>
            <w:r w:rsidRPr="00C35069">
              <w:rPr>
                <w:sz w:val="20"/>
                <w:szCs w:val="20"/>
              </w:rPr>
              <w:t/>
            </w:r>
          </w:p>
        </w:tc>
        <w:tc>
          <w:tcPr>
            <w:tcW w:w="1844" w:type="dxa"/>
            <w:vAlign w:val="center"/>
          </w:tcPr>
          <w:p w14:paraId="5A3BBDF6" w14:textId="19E6C641"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Activating Mutation</w:t>
            </w:r>
          </w:p>
        </w:tc>
        <w:tc>
          <w:tcPr>
            <w:tcW w:w="1350" w:type="dxa"/>
            <w:vAlign w:val="center"/>
          </w:tcPr>
          <w:p w14:paraId="40F368E6" w14:textId="2318BFFD"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bCs/>
                <w:iCs/>
                <w:sz w:val="20"/>
                <w:szCs w:val="20"/>
              </w:rPr>
              <w:t xml:space="preserve">Exon 15</w:t>
            </w:r>
          </w:p>
        </w:tc>
        <w:tc>
          <w:tcPr>
            <w:tcW w:w="1800" w:type="dxa"/>
            <w:vAlign w:val="center"/>
          </w:tcPr>
          <w:p w14:paraId="4B6532CE" w14:textId="50F1B8BE"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833C0B"/>
              </w:rPr>
              <w:t xml:space="preserve">Oncogenic</w:t>
            </w:r>
            <w:r w:rsidR="00BA40B6">
              <w:rPr>
                <w:sz w:val="20"/>
                <w:szCs w:val="20"/>
              </w:rPr>
              <w:t/>
            </w:r>
            <w:r w:rsidRPr="00C35069">
              <w:rPr>
                <w:sz w:val="20"/>
                <w:szCs w:val="20"/>
              </w:rPr>
              <w:t/>
            </w:r>
          </w:p>
        </w:tc>
        <w:tc>
          <w:tcPr>
            <w:tcW w:w="2728" w:type="dxa"/>
            <w:vAlign w:val="center"/>
          </w:tcPr>
          <w:p w14:paraId="177F3D51" w14:textId="3D21BF11"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r>
              <w:br/>
            </w:r>
            <w:r>
              <w:rPr>
                <w:sz w:val="20"/>
                <w:szCs w:val="20"/>
                <w:color w:val="FFC000"/>
              </w:rPr>
              <w:t xml:space="preserve">Drug Resistance Tier II - Level C</w:t>
            </w:r>
          </w:p>
        </w:tc>
      </w:tr>
    </w:tbl>
    <w:p w14:paraId="7E315172" w14:textId="6233903C" w:rsidR="00BE7E03" w:rsidRPr="00102DF1" w:rsidRDefault="0063144D" w:rsidP="00BE7E03">
      <w:pPr>
        <w:rPr>
          <w:rFonts w:cstheme="minorHAnsi"/>
        </w:rPr>
      </w:pPr>
      <w:r>
        <w:rPr>
          <w:rFonts w:cstheme="minorHAnsi"/>
        </w:rPr>
        <w:t/>
      </w:r>
      <w:r w:rsidRPr="0063144D">
        <w:rPr>
          <w:rFonts w:cstheme="minorHAnsi"/>
        </w:rPr>
        <w:t/>
      </w:r>
      <w:r>
        <w:rPr>
          <w:rFonts w:cstheme="minorHAnsi"/>
        </w:rPr>
        <w:t/>
      </w:r>
    </w:p>
    <w:p w14:paraId="348F4170" w14:textId="241F623A" w:rsidR="00F67FF5" w:rsidRPr="00D7205E" w:rsidRDefault="00F67FF5" w:rsidP="00F67FF5">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Copy Number Variations with Clinical Evidence</w:t>
      </w:r>
    </w:p>
    <w:tbl>
      <w:tblPr>
        <w:tblStyle w:val="ListTable6Colorful-Accent3"/>
        <w:tblpPr w:leftFromText="180" w:rightFromText="180" w:vertAnchor="text" w:tblpX="126" w:tblpY="1"/>
        <w:tblOverlap w:val="never"/>
        <w:tblW w:w="10782" w:type="dxa"/>
        <w:tblLayout w:type="fixed"/>
        <w:tblLook w:val="04A0" w:firstRow="1" w:lastRow="0" w:firstColumn="1" w:lastColumn="0" w:noHBand="0" w:noVBand="1"/>
      </w:tblPr>
      <w:tblGrid>
        <w:gridCol w:w="1440"/>
        <w:gridCol w:w="1638"/>
        <w:gridCol w:w="1260"/>
        <w:gridCol w:w="2520"/>
        <w:gridCol w:w="1080"/>
        <w:gridCol w:w="2844"/>
      </w:tblGrid>
      <w:tr w:rsidR="003061E9" w14:paraId="25811B94" w14:textId="77777777" w:rsidTr="0031768C">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1440" w:type="dxa"/>
            <w:vAlign w:val="bottom"/>
          </w:tcPr>
          <w:p w14:paraId="6C315E73" w14:textId="77777777" w:rsidR="003061E9" w:rsidRPr="00D7205E" w:rsidRDefault="003061E9" w:rsidP="004F1DFA">
            <w:pPr>
              <w:rPr>
                <w:rFonts w:cstheme="minorHAnsi"/>
                <w:color w:val="0D0D0D" w:themeColor="text1" w:themeTint="F2"/>
                <w:sz w:val="20"/>
                <w:szCs w:val="20"/>
              </w:rPr>
            </w:pPr>
            <w:r>
              <w:rPr>
                <w:rFonts w:cstheme="minorHAnsi"/>
                <w:smallCaps/>
                <w:color w:val="0D0D0D" w:themeColor="text1" w:themeTint="F2"/>
              </w:rPr>
              <w:t xml:space="preserve">Primary </w:t>
            </w:r>
            <w:r w:rsidRPr="00D7205E">
              <w:rPr>
                <w:rFonts w:cstheme="minorHAnsi"/>
                <w:smallCaps/>
                <w:color w:val="0D0D0D" w:themeColor="text1" w:themeTint="F2"/>
              </w:rPr>
              <w:t xml:space="preserve">Gene</w:t>
            </w:r>
          </w:p>
        </w:tc>
        <w:tc>
          <w:tcPr>
            <w:tcW w:w="1638" w:type="dxa"/>
            <w:vAlign w:val="bottom"/>
          </w:tcPr>
          <w:p w14:paraId="3D0153D2"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Overlapping Genes</w:t>
            </w:r>
          </w:p>
        </w:tc>
        <w:tc>
          <w:tcPr>
            <w:tcW w:w="1260" w:type="dxa"/>
            <w:vAlign w:val="bottom"/>
          </w:tcPr>
          <w:p w14:paraId="76F96472"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State</w:t>
            </w:r>
          </w:p>
        </w:tc>
        <w:tc>
          <w:tcPr>
            <w:tcW w:w="2520" w:type="dxa"/>
            <w:vAlign w:val="bottom"/>
          </w:tcPr>
          <w:p w14:paraId="588F5C5A"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ISCN</w:t>
            </w:r>
          </w:p>
        </w:tc>
        <w:tc>
          <w:tcPr>
            <w:tcW w:w="1080" w:type="dxa"/>
            <w:vAlign w:val="bottom"/>
          </w:tcPr>
          <w:p w14:paraId="0ED6DB1D"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Impact</w:t>
            </w:r>
          </w:p>
        </w:tc>
        <w:tc>
          <w:tcPr>
            <w:tcW w:w="2844" w:type="dxa"/>
            <w:vAlign w:val="bottom"/>
          </w:tcPr>
          <w:p w14:paraId="63A0A905" w14:textId="56D57FFD" w:rsidR="003061E9" w:rsidRDefault="00363804" w:rsidP="004F1DFA">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3061E9" w:rsidRPr="00DB7AB8" w14:paraId="25BDA582" w14:textId="77777777" w:rsidTr="0031768C">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1440" w:type="dxa"/>
            <w:vAlign w:val="center"/>
          </w:tcPr>
          <w:p w14:paraId="650BD2C8" w14:textId="7CE4B7A9" w:rsidR="003061E9" w:rsidRPr="00A7639C" w:rsidRDefault="00180B3B" w:rsidP="004F1DFA">
            <w:pPr>
              <w:spacing w:line="276" w:lineRule="auto"/>
              <w:rPr>
                <w:b w:val="0"/>
                <w:i/>
                <w:iCs/>
                <w:color w:val="404040" w:themeColor="text1" w:themeTint="BF"/>
                <w:sz w:val="20"/>
                <w:szCs w:val="20"/>
              </w:rPr>
            </w:pPr>
            <w:r>
              <w:rPr>
                <w:i/>
                <w:iCs/>
                <w:color w:val="404040" w:themeColor="text1" w:themeTint="BF"/>
                <w:sz w:val="20"/>
                <w:szCs w:val="20"/>
              </w:rPr>
              <w:t/>
            </w:r>
            <w:r w:rsidRPr="00180B3B">
              <w:rPr>
                <w:i/>
                <w:iCs/>
                <w:color w:val="404040" w:themeColor="text1" w:themeTint="BF"/>
                <w:sz w:val="20"/>
                <w:szCs w:val="20"/>
              </w:rPr>
              <w:t/>
            </w:r>
            <w:r>
              <w:rPr>
                <w:i/>
                <w:iCs/>
                <w:color w:val="404040" w:themeColor="text1" w:themeTint="BF"/>
                <w:sz w:val="20"/>
                <w:szCs w:val="20"/>
              </w:rPr>
              <w:t xml:space="preserve">ERBB2</w:t>
            </w:r>
          </w:p>
        </w:tc>
        <w:tc>
          <w:tcPr>
            <w:tcW w:w="1638" w:type="dxa"/>
            <w:vAlign w:val="center"/>
          </w:tcPr>
          <w:p w14:paraId="11A23094" w14:textId="365011FC" w:rsidR="003061E9" w:rsidRPr="00C35069" w:rsidRDefault="007B598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ERBB2, MIR4728, MIEN1</w:t>
            </w:r>
          </w:p>
        </w:tc>
        <w:tc>
          <w:tcPr>
            <w:tcW w:w="1260" w:type="dxa"/>
            <w:vAlign w:val="center"/>
          </w:tcPr>
          <w:p w14:paraId="162E6327" w14:textId="6E1D81D1"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Duplication</w:t>
            </w:r>
            <w:r w:rsidR="00C35069" w:rsidRPr="00C35069">
              <w:rPr>
                <w:rFonts w:cstheme="minorHAnsi"/>
                <w:sz w:val="20"/>
                <w:szCs w:val="20"/>
              </w:rPr>
              <w:t/>
            </w:r>
            <w:r w:rsidR="00324D91" w:rsidRPr="00C35069">
              <w:rPr>
                <w:rFonts w:cstheme="minorHAnsi"/>
                <w:sz w:val="20"/>
                <w:szCs w:val="20"/>
              </w:rPr>
              <w:t/>
            </w:r>
            <w:r w:rsidRPr="00C35069">
              <w:rPr>
                <w:rFonts w:cstheme="minorHAnsi"/>
                <w:sz w:val="20"/>
                <w:szCs w:val="20"/>
              </w:rPr>
              <w:t/>
            </w:r>
          </w:p>
        </w:tc>
        <w:tc>
          <w:tcPr>
            <w:tcW w:w="2520" w:type="dxa"/>
            <w:vAlign w:val="center"/>
          </w:tcPr>
          <w:p w14:paraId="0C9E8A4A" w14:textId="7D0A320C"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17q12 (17:37856317-37884911)x0</w:t>
            </w:r>
            <w:proofErr w:type="spellStart"/>
            <w:r w:rsidRPr="00C35069">
              <w:rPr>
                <w:rFonts w:cstheme="minorHAnsi"/>
                <w:sz w:val="20"/>
                <w:szCs w:val="20"/>
              </w:rPr>
              <w:t/>
            </w:r>
            <w:proofErr w:type="spellEnd"/>
            <w:r w:rsidRPr="00C35069">
              <w:rPr>
                <w:rFonts w:cstheme="minorHAnsi"/>
                <w:sz w:val="20"/>
                <w:szCs w:val="20"/>
              </w:rPr>
              <w:t/>
            </w:r>
          </w:p>
        </w:tc>
        <w:tc>
          <w:tcPr>
            <w:tcW w:w="1080" w:type="dxa"/>
            <w:vAlign w:val="center"/>
          </w:tcPr>
          <w:p w14:paraId="392BF86C" w14:textId="0B2EF1C5"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Activating Mutation</w:t>
            </w:r>
          </w:p>
        </w:tc>
        <w:tc>
          <w:tcPr>
            <w:tcW w:w="2844" w:type="dxa"/>
            <w:vAlign w:val="center"/>
          </w:tcPr>
          <w:p w14:paraId="66E62245" w14:textId="028C18DA"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r>
              <w:br/>
            </w:r>
            <w:r>
              <w:rPr>
                <w:sz w:val="20"/>
                <w:szCs w:val="20"/>
                <w:color w:val="70AD47"/>
              </w:rPr>
              <w:t xml:space="preserve">Drug Resistance Tier I - Level A</w:t>
            </w:r>
            <w:r w:rsidR="00224215">
              <w:rPr>
                <w:sz w:val="20"/>
                <w:szCs w:val="20"/>
              </w:rPr>
              <w:t/>
            </w:r>
            <w:r w:rsidRPr="00C35069">
              <w:rPr>
                <w:sz w:val="20"/>
                <w:szCs w:val="20"/>
              </w:rPr>
              <w:t/>
            </w:r>
          </w:p>
        </w:tc>
      </w:tr>
      <w:tr w:rsidR="003061E9" w:rsidRPr="00DB7AB8" w14:paraId="25BDA582" w14:textId="77777777" w:rsidTr="0031768C">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1440" w:type="dxa"/>
            <w:vAlign w:val="center"/>
          </w:tcPr>
          <w:p w14:paraId="650BD2C8" w14:textId="7CE4B7A9" w:rsidR="003061E9" w:rsidRPr="00A7639C" w:rsidRDefault="00180B3B" w:rsidP="004F1DFA">
            <w:pPr>
              <w:spacing w:line="276" w:lineRule="auto"/>
              <w:rPr>
                <w:b w:val="0"/>
                <w:i/>
                <w:iCs/>
                <w:color w:val="404040" w:themeColor="text1" w:themeTint="BF"/>
                <w:sz w:val="20"/>
                <w:szCs w:val="20"/>
              </w:rPr>
            </w:pPr>
            <w:r>
              <w:rPr>
                <w:i/>
                <w:iCs/>
                <w:color w:val="404040" w:themeColor="text1" w:themeTint="BF"/>
                <w:sz w:val="20"/>
                <w:szCs w:val="20"/>
              </w:rPr>
              <w:t/>
            </w:r>
            <w:r w:rsidRPr="00180B3B">
              <w:rPr>
                <w:i/>
                <w:iCs/>
                <w:color w:val="404040" w:themeColor="text1" w:themeTint="BF"/>
                <w:sz w:val="20"/>
                <w:szCs w:val="20"/>
              </w:rPr>
              <w:t/>
            </w:r>
            <w:r>
              <w:rPr>
                <w:i/>
                <w:iCs/>
                <w:color w:val="404040" w:themeColor="text1" w:themeTint="BF"/>
                <w:sz w:val="20"/>
                <w:szCs w:val="20"/>
              </w:rPr>
              <w:t xml:space="preserve">PIK3CA</w:t>
            </w:r>
          </w:p>
        </w:tc>
        <w:tc>
          <w:tcPr>
            <w:tcW w:w="1638" w:type="dxa"/>
            <w:vAlign w:val="center"/>
          </w:tcPr>
          <w:p w14:paraId="11A23094" w14:textId="365011FC" w:rsidR="003061E9" w:rsidRPr="00C35069" w:rsidRDefault="007B598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PIK3CA, KCNMB3</w:t>
            </w:r>
          </w:p>
        </w:tc>
        <w:tc>
          <w:tcPr>
            <w:tcW w:w="1260" w:type="dxa"/>
            <w:vAlign w:val="center"/>
          </w:tcPr>
          <w:p w14:paraId="162E6327" w14:textId="6E1D81D1"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Duplication</w:t>
            </w:r>
            <w:r w:rsidR="00C35069" w:rsidRPr="00C35069">
              <w:rPr>
                <w:rFonts w:cstheme="minorHAnsi"/>
                <w:sz w:val="20"/>
                <w:szCs w:val="20"/>
              </w:rPr>
              <w:t/>
            </w:r>
            <w:r w:rsidR="00324D91" w:rsidRPr="00C35069">
              <w:rPr>
                <w:rFonts w:cstheme="minorHAnsi"/>
                <w:sz w:val="20"/>
                <w:szCs w:val="20"/>
              </w:rPr>
              <w:t/>
            </w:r>
            <w:r w:rsidRPr="00C35069">
              <w:rPr>
                <w:rFonts w:cstheme="minorHAnsi"/>
                <w:sz w:val="20"/>
                <w:szCs w:val="20"/>
              </w:rPr>
              <w:t/>
            </w:r>
          </w:p>
        </w:tc>
        <w:tc>
          <w:tcPr>
            <w:tcW w:w="2520" w:type="dxa"/>
            <w:vAlign w:val="center"/>
          </w:tcPr>
          <w:p w14:paraId="0C9E8A4A" w14:textId="7D0A320C"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3q26.32 (3:178866145-178957881)x3</w:t>
            </w:r>
            <w:proofErr w:type="spellStart"/>
            <w:r w:rsidRPr="00C35069">
              <w:rPr>
                <w:rFonts w:cstheme="minorHAnsi"/>
                <w:sz w:val="20"/>
                <w:szCs w:val="20"/>
              </w:rPr>
              <w:t/>
            </w:r>
            <w:proofErr w:type="spellEnd"/>
            <w:r w:rsidRPr="00C35069">
              <w:rPr>
                <w:rFonts w:cstheme="minorHAnsi"/>
                <w:sz w:val="20"/>
                <w:szCs w:val="20"/>
              </w:rPr>
              <w:t/>
            </w:r>
          </w:p>
        </w:tc>
        <w:tc>
          <w:tcPr>
            <w:tcW w:w="1080" w:type="dxa"/>
            <w:vAlign w:val="center"/>
          </w:tcPr>
          <w:p w14:paraId="392BF86C" w14:textId="0B2EF1C5"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Activating Mutation</w:t>
            </w:r>
          </w:p>
        </w:tc>
        <w:tc>
          <w:tcPr>
            <w:tcW w:w="2844" w:type="dxa"/>
            <w:vAlign w:val="center"/>
          </w:tcPr>
          <w:p w14:paraId="66E62245" w14:textId="028C18DA"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FFC000"/>
              </w:rPr>
              <w:t xml:space="preserve">Drug Sensitivity Tier II - Level C</w:t>
            </w:r>
            <w:r w:rsidR="00224215">
              <w:rPr>
                <w:sz w:val="20"/>
                <w:szCs w:val="20"/>
              </w:rPr>
              <w:t/>
            </w:r>
            <w:r w:rsidRPr="00C35069">
              <w:rPr>
                <w:sz w:val="20"/>
                <w:szCs w:val="20"/>
              </w:rPr>
              <w:t/>
            </w:r>
          </w:p>
        </w:tc>
      </w:tr>
    </w:tbl>
    <w:p w14:paraId="1AF4989B" w14:textId="0BA737C7" w:rsidR="00F67FF5" w:rsidRDefault="0063144D" w:rsidP="00BF5412">
      <w:pPr>
        <w:rPr>
          <w:rFonts w:cstheme="minorHAnsi"/>
        </w:rPr>
      </w:pPr>
      <w:r>
        <w:rPr>
          <w:rFonts w:cstheme="minorHAnsi"/>
        </w:rPr>
        <w:t/>
      </w:r>
      <w:r w:rsidRPr="0063144D">
        <w:rPr>
          <w:rFonts w:cstheme="minorHAnsi"/>
        </w:rPr>
        <w:t/>
      </w:r>
      <w:r>
        <w:rPr>
          <w:rFonts w:cstheme="minorHAnsi"/>
        </w:rPr>
        <w:t/>
      </w:r>
    </w:p>
    <w:p w14:paraId="15472DF8" w14:textId="62800BDC" w:rsidR="00F67FF5" w:rsidRPr="00D7205E" w:rsidRDefault="00F67FF5" w:rsidP="00F67FF5">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Genomic Signatures with Clinical Evidence</w:t>
      </w:r>
    </w:p>
    <w:tbl>
      <w:tblPr>
        <w:tblStyle w:val="ListTable6Colorful-Accent3"/>
        <w:tblpPr w:leftFromText="180" w:rightFromText="180" w:vertAnchor="text" w:tblpX="126" w:tblpY="1"/>
        <w:tblOverlap w:val="never"/>
        <w:tblW w:w="10728" w:type="dxa"/>
        <w:tblLayout w:type="fixed"/>
        <w:tblLook w:val="04A0" w:firstRow="1" w:lastRow="0" w:firstColumn="1" w:lastColumn="0" w:noHBand="0" w:noVBand="1"/>
      </w:tblPr>
      <w:tblGrid>
        <w:gridCol w:w="1818"/>
        <w:gridCol w:w="1350"/>
        <w:gridCol w:w="2160"/>
        <w:gridCol w:w="1282"/>
        <w:gridCol w:w="4118"/>
      </w:tblGrid>
      <w:tr w:rsidR="00C4397D" w:rsidRPr="00D7205E" w14:paraId="78C993B1" w14:textId="53173FF8" w:rsidTr="00C4397D">
        <w:trPr>
          <w:cnfStyle w:val="100000000000" w:firstRow="1" w:lastRow="0" w:firstColumn="0" w:lastColumn="0" w:oddVBand="0" w:evenVBand="0" w:oddHBand="0" w:evenHBand="0" w:firstRowFirstColumn="0" w:firstRowLastColumn="0" w:lastRowFirstColumn="0" w:lastRowLastColumn="0"/>
          <w:cantSplit/>
          <w:trHeight w:val="401"/>
        </w:trPr>
        <w:tc>
          <w:tcPr>
            <w:cnfStyle w:val="001000000000" w:firstRow="0" w:lastRow="0" w:firstColumn="1" w:lastColumn="0" w:oddVBand="0" w:evenVBand="0" w:oddHBand="0" w:evenHBand="0" w:firstRowFirstColumn="0" w:firstRowLastColumn="0" w:lastRowFirstColumn="0" w:lastRowLastColumn="0"/>
            <w:tcW w:w="1818" w:type="dxa"/>
            <w:vAlign w:val="bottom"/>
          </w:tcPr>
          <w:p w14:paraId="1CCD7FC3" w14:textId="77777777" w:rsidR="00C4397D" w:rsidRPr="00D7205E" w:rsidRDefault="00C4397D" w:rsidP="005250F5">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1350" w:type="dxa"/>
            <w:vAlign w:val="bottom"/>
          </w:tcPr>
          <w:p w14:paraId="47F30289" w14:textId="77777777" w:rsidR="00C4397D" w:rsidRPr="00D7205E"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State</w:t>
            </w:r>
          </w:p>
        </w:tc>
        <w:tc>
          <w:tcPr>
            <w:tcW w:w="2160" w:type="dxa"/>
            <w:vAlign w:val="bottom"/>
          </w:tcPr>
          <w:p w14:paraId="50B529C5" w14:textId="77777777" w:rsidR="00C4397D" w:rsidRPr="00D7205E"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Location</w:t>
            </w:r>
          </w:p>
        </w:tc>
        <w:tc>
          <w:tcPr>
            <w:tcW w:w="1282" w:type="dxa"/>
            <w:vAlign w:val="bottom"/>
          </w:tcPr>
          <w:p w14:paraId="511048E7" w14:textId="77777777" w:rsidR="00C4397D" w:rsidRPr="00D7205E"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Impact</w:t>
            </w:r>
          </w:p>
        </w:tc>
        <w:tc>
          <w:tcPr>
            <w:tcW w:w="4118" w:type="dxa"/>
            <w:vAlign w:val="bottom"/>
          </w:tcPr>
          <w:p w14:paraId="3DFDF8FE" w14:textId="000EA877" w:rsidR="00C4397D"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C4397D" w:rsidRPr="005D7FE8" w14:paraId="7FAF40B0" w14:textId="5345F154" w:rsidTr="00C4397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1818" w:type="dxa"/>
            <w:vAlign w:val="center"/>
          </w:tcPr>
          <w:p w14:paraId="6833DBF8" w14:textId="771447FC" w:rsidR="00C4397D" w:rsidRPr="00AE245C" w:rsidRDefault="00C4397D" w:rsidP="005250F5">
            <w:pPr>
              <w:spacing w:line="276" w:lineRule="auto"/>
              <w:rPr>
                <w:b w:val="0"/>
                <w:bCs w:val="0"/>
                <w:color w:val="404040" w:themeColor="text1" w:themeTint="BF"/>
                <w:sz w:val="20"/>
                <w:szCs w:val="20"/>
              </w:rPr>
            </w:pPr>
            <w:r>
              <w:rPr>
                <w:color w:val="404040" w:themeColor="text1" w:themeTint="BF"/>
                <w:sz w:val="20"/>
                <w:szCs w:val="20"/>
              </w:rPr>
              <w:t/>
            </w:r>
            <w:r w:rsidR="00072A3D">
              <w:rPr>
                <w:color w:val="404040" w:themeColor="text1" w:themeTint="BF"/>
                <w:sz w:val="20"/>
                <w:szCs w:val="20"/>
              </w:rPr>
              <w:t/>
            </w: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TMB High</w:t>
            </w:r>
          </w:p>
        </w:tc>
        <w:tc>
          <w:tcPr>
            <w:tcW w:w="1350" w:type="dxa"/>
            <w:vAlign w:val="center"/>
          </w:tcPr>
          <w:p w14:paraId="68D7599D" w14:textId="339BB80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12.5 mut/Mb</w:t>
            </w:r>
          </w:p>
        </w:tc>
        <w:tc>
          <w:tcPr>
            <w:tcW w:w="2160" w:type="dxa"/>
            <w:vAlign w:val="center"/>
          </w:tcPr>
          <w:p w14:paraId="2895C191" w14:textId="7777777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rFonts w:cstheme="minorHAnsi"/>
                <w:sz w:val="20"/>
                <w:szCs w:val="20"/>
              </w:rPr>
              <w:t xml:space="preserve">Genomic Signature</w:t>
            </w:r>
          </w:p>
        </w:tc>
        <w:tc>
          <w:tcPr>
            <w:tcW w:w="1282" w:type="dxa"/>
            <w:vAlign w:val="center"/>
          </w:tcPr>
          <w:p w14:paraId="142F8FE0" w14:textId="2470D01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Unknown</w:t>
            </w:r>
          </w:p>
        </w:tc>
        <w:tc>
          <w:tcPr>
            <w:tcW w:w="4118" w:type="dxa"/>
            <w:vAlign w:val="center"/>
          </w:tcPr>
          <w:p w14:paraId="3D48012D" w14:textId="796ADF6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p>
        </w:tc>
      </w:tr>
      <w:tr w:rsidR="00C4397D" w:rsidRPr="005D7FE8" w14:paraId="7FAF40B0" w14:textId="5345F154" w:rsidTr="00C4397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1818" w:type="dxa"/>
            <w:vAlign w:val="center"/>
          </w:tcPr>
          <w:p w14:paraId="6833DBF8" w14:textId="771447FC" w:rsidR="00C4397D" w:rsidRPr="00AE245C" w:rsidRDefault="00C4397D" w:rsidP="005250F5">
            <w:pPr>
              <w:spacing w:line="276" w:lineRule="auto"/>
              <w:rPr>
                <w:b w:val="0"/>
                <w:bCs w:val="0"/>
                <w:color w:val="404040" w:themeColor="text1" w:themeTint="BF"/>
                <w:sz w:val="20"/>
                <w:szCs w:val="20"/>
              </w:rPr>
            </w:pPr>
            <w:r>
              <w:rPr>
                <w:color w:val="404040" w:themeColor="text1" w:themeTint="BF"/>
                <w:sz w:val="20"/>
                <w:szCs w:val="20"/>
              </w:rPr>
              <w:t/>
            </w:r>
            <w:r w:rsidR="00072A3D">
              <w:rPr>
                <w:color w:val="404040" w:themeColor="text1" w:themeTint="BF"/>
                <w:sz w:val="20"/>
                <w:szCs w:val="20"/>
              </w:rPr>
              <w:t/>
            </w: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MSI High</w:t>
            </w:r>
          </w:p>
        </w:tc>
        <w:tc>
          <w:tcPr>
            <w:tcW w:w="1350" w:type="dxa"/>
            <w:vAlign w:val="center"/>
          </w:tcPr>
          <w:p w14:paraId="68D7599D" w14:textId="339BB80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35.9 % unstable MSI loci</w:t>
            </w:r>
          </w:p>
        </w:tc>
        <w:tc>
          <w:tcPr>
            <w:tcW w:w="2160" w:type="dxa"/>
            <w:vAlign w:val="center"/>
          </w:tcPr>
          <w:p w14:paraId="2895C191" w14:textId="7777777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rFonts w:cstheme="minorHAnsi"/>
                <w:sz w:val="20"/>
                <w:szCs w:val="20"/>
              </w:rPr>
              <w:t xml:space="preserve">Genomic Signature</w:t>
            </w:r>
          </w:p>
        </w:tc>
        <w:tc>
          <w:tcPr>
            <w:tcW w:w="1282" w:type="dxa"/>
            <w:vAlign w:val="center"/>
          </w:tcPr>
          <w:p w14:paraId="142F8FE0" w14:textId="2470D01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Unknown</w:t>
            </w:r>
          </w:p>
        </w:tc>
        <w:tc>
          <w:tcPr>
            <w:tcW w:w="4118" w:type="dxa"/>
            <w:vAlign w:val="center"/>
          </w:tcPr>
          <w:p w14:paraId="3D48012D" w14:textId="796ADF6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p>
        </w:tc>
      </w:tr>
      <w:tr w:rsidR="00C4397D" w:rsidRPr="005D7FE8" w14:paraId="7FAF40B0" w14:textId="5345F154" w:rsidTr="00C4397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1818" w:type="dxa"/>
            <w:vAlign w:val="center"/>
          </w:tcPr>
          <w:p w14:paraId="6833DBF8" w14:textId="771447FC" w:rsidR="00C4397D" w:rsidRPr="00AE245C" w:rsidRDefault="00C4397D" w:rsidP="005250F5">
            <w:pPr>
              <w:spacing w:line="276" w:lineRule="auto"/>
              <w:rPr>
                <w:b w:val="0"/>
                <w:bCs w:val="0"/>
                <w:color w:val="404040" w:themeColor="text1" w:themeTint="BF"/>
                <w:sz w:val="20"/>
                <w:szCs w:val="20"/>
              </w:rPr>
            </w:pPr>
            <w:r>
              <w:rPr>
                <w:color w:val="404040" w:themeColor="text1" w:themeTint="BF"/>
                <w:sz w:val="20"/>
                <w:szCs w:val="20"/>
              </w:rPr>
              <w:t/>
            </w:r>
            <w:r w:rsidR="00072A3D">
              <w:rPr>
                <w:color w:val="404040" w:themeColor="text1" w:themeTint="BF"/>
                <w:sz w:val="20"/>
                <w:szCs w:val="20"/>
              </w:rPr>
              <w:t/>
            </w: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HRD Positive</w:t>
            </w:r>
          </w:p>
        </w:tc>
        <w:tc>
          <w:tcPr>
            <w:tcW w:w="1350" w:type="dxa"/>
            <w:vAlign w:val="center"/>
          </w:tcPr>
          <w:p w14:paraId="68D7599D" w14:textId="339BB80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43 Genomic Instability Score</w:t>
            </w:r>
          </w:p>
        </w:tc>
        <w:tc>
          <w:tcPr>
            <w:tcW w:w="2160" w:type="dxa"/>
            <w:vAlign w:val="center"/>
          </w:tcPr>
          <w:p w14:paraId="2895C191" w14:textId="7777777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rFonts w:cstheme="minorHAnsi"/>
                <w:sz w:val="20"/>
                <w:szCs w:val="20"/>
              </w:rPr>
              <w:t xml:space="preserve">Genomic Signature</w:t>
            </w:r>
          </w:p>
        </w:tc>
        <w:tc>
          <w:tcPr>
            <w:tcW w:w="1282" w:type="dxa"/>
            <w:vAlign w:val="center"/>
          </w:tcPr>
          <w:p w14:paraId="142F8FE0" w14:textId="2470D01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Unknown</w:t>
            </w:r>
          </w:p>
        </w:tc>
        <w:tc>
          <w:tcPr>
            <w:tcW w:w="4118" w:type="dxa"/>
            <w:vAlign w:val="center"/>
          </w:tcPr>
          <w:p w14:paraId="3D48012D" w14:textId="796ADF6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FFC000"/>
              </w:rPr>
              <w:t xml:space="preserve">Drug Sensitivity Tier II - Level C</w:t>
            </w:r>
          </w:p>
        </w:tc>
      </w:tr>
    </w:tbl>
    <w:p w14:paraId="1D565D54" w14:textId="11472FF8" w:rsidR="00F67FF5" w:rsidRDefault="0063144D" w:rsidP="00BF5412">
      <w:pPr>
        <w:rPr>
          <w:rFonts w:cstheme="minorHAnsi"/>
        </w:rPr>
      </w:pPr>
      <w:r>
        <w:rPr>
          <w:rFonts w:cstheme="minorHAnsi"/>
        </w:rPr>
        <w:t/>
      </w:r>
      <w:r w:rsidRPr="0063144D">
        <w:rPr>
          <w:rFonts w:cstheme="minorHAnsi"/>
        </w:rPr>
        <w:t/>
      </w:r>
      <w:r>
        <w:rPr>
          <w:rFonts w:cstheme="minorHAnsi"/>
        </w:rPr>
        <w:t/>
      </w:r>
    </w:p>
    <w:p w14:paraId="5DC6D505" w14:textId="76D55A35" w:rsidR="00276CFD" w:rsidRPr="00D7205E" w:rsidRDefault="00276CFD" w:rsidP="00276CFD">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Negative Findings</w:t>
      </w:r>
      <w:r w:rsidR="0059116A">
        <w:rPr>
          <w:rFonts w:cstheme="majorHAnsi"/>
          <w:b/>
          <w:smallCaps/>
          <w:color w:val="FFFFFF" w:themeColor="background1"/>
          <w:spacing w:val="10"/>
        </w:rPr>
        <w:t xml:space="preserve"> with Clinical Evidence</w:t>
      </w:r>
    </w:p>
    <w:tbl>
      <w:tblPr>
        <w:tblStyle w:val="ListTable6Colorful-Accent3"/>
        <w:tblpPr w:leftFromText="180" w:rightFromText="180" w:vertAnchor="text" w:tblpX="126" w:tblpY="1"/>
        <w:tblOverlap w:val="never"/>
        <w:tblW w:w="10710" w:type="dxa"/>
        <w:tblLayout w:type="fixed"/>
        <w:tblLook w:val="04A0" w:firstRow="1" w:lastRow="0" w:firstColumn="1" w:lastColumn="0" w:noHBand="0" w:noVBand="1"/>
      </w:tblPr>
      <w:tblGrid>
        <w:gridCol w:w="2610"/>
        <w:gridCol w:w="8100"/>
      </w:tblGrid>
      <w:tr w:rsidR="00276CFD" w14:paraId="4A0BD4C2" w14:textId="77777777" w:rsidTr="00795E3D">
        <w:trPr>
          <w:cnfStyle w:val="100000000000" w:firstRow="1" w:lastRow="0" w:firstColumn="0" w:lastColumn="0" w:oddVBand="0" w:evenVBand="0" w:oddHBand="0" w:evenHBand="0" w:firstRowFirstColumn="0" w:firstRowLastColumn="0" w:lastRowFirstColumn="0" w:lastRowLastColumn="0"/>
          <w:cantSplit/>
          <w:trHeight w:val="401"/>
        </w:trPr>
        <w:tc>
          <w:tcPr>
            <w:cnfStyle w:val="001000000000" w:firstRow="0" w:lastRow="0" w:firstColumn="1" w:lastColumn="0" w:oddVBand="0" w:evenVBand="0" w:oddHBand="0" w:evenHBand="0" w:firstRowFirstColumn="0" w:firstRowLastColumn="0" w:lastRowFirstColumn="0" w:lastRowLastColumn="0"/>
            <w:tcW w:w="2610" w:type="dxa"/>
            <w:vAlign w:val="bottom"/>
          </w:tcPr>
          <w:p w14:paraId="2FE70C7D" w14:textId="77777777" w:rsidR="00276CFD" w:rsidRPr="00D7205E" w:rsidRDefault="00276CFD" w:rsidP="00795E3D">
            <w:pPr>
              <w:rPr>
                <w:rFonts w:cstheme="minorHAnsi"/>
                <w:color w:val="0D0D0D" w:themeColor="text1" w:themeTint="F2"/>
                <w:sz w:val="20"/>
                <w:szCs w:val="20"/>
              </w:rPr>
            </w:pPr>
            <w:r>
              <w:rPr>
                <w:rFonts w:cstheme="minorHAnsi"/>
                <w:smallCaps/>
                <w:color w:val="0D0D0D" w:themeColor="text1" w:themeTint="F2"/>
              </w:rPr>
              <w:t xml:space="preserve">Primary Gene</w:t>
            </w:r>
          </w:p>
        </w:tc>
        <w:tc>
          <w:tcPr>
            <w:tcW w:w="8100" w:type="dxa"/>
            <w:vAlign w:val="bottom"/>
          </w:tcPr>
          <w:p w14:paraId="4DD6F1EC" w14:textId="77777777" w:rsidR="00276CFD" w:rsidRPr="00D7205E" w:rsidRDefault="00276CFD" w:rsidP="00795E3D">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Description</w:t>
            </w:r>
          </w:p>
        </w:tc>
      </w:tr>
      <w:tr w:rsidR="00276CFD" w:rsidRPr="00DB7AB8" w14:paraId="2B879645" w14:textId="77777777" w:rsidTr="00795E3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2610" w:type="dxa"/>
            <w:vAlign w:val="center"/>
          </w:tcPr>
          <w:p w14:paraId="42EDF124" w14:textId="77777777" w:rsidR="00276CFD" w:rsidRPr="00AE245C" w:rsidRDefault="00276CFD" w:rsidP="00795E3D">
            <w:pPr>
              <w:spacing w:line="276" w:lineRule="auto"/>
              <w:rPr>
                <w:b w:val="0"/>
                <w:bCs w:val="0"/>
                <w:color w:val="404040" w:themeColor="text1" w:themeTint="BF"/>
                <w:sz w:val="20"/>
                <w:szCs w:val="20"/>
              </w:rPr>
            </w:pP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EGFR</w:t>
            </w:r>
          </w:p>
        </w:tc>
        <w:tc>
          <w:tcPr>
            <w:tcW w:w="8100" w:type="dxa"/>
            <w:vAlign w:val="center"/>
          </w:tcPr>
          <w:p w14:paraId="3D48C3AD" w14:textId="77777777" w:rsidR="00276CFD" w:rsidRPr="005D7FE8" w:rsidRDefault="00276CFD" w:rsidP="00795E3D">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775336">
              <w:rPr>
                <w:sz w:val="20"/>
                <w:szCs w:val="20"/>
              </w:rPr>
              <w:t xml:space="preserve">Negative Finding</w:t>
            </w:r>
            <w:r>
              <w:rPr>
                <w:sz w:val="20"/>
                <w:szCs w:val="20"/>
              </w:rPr>
              <w:t/>
            </w:r>
            <w:r w:rsidRPr="00775336">
              <w:rPr>
                <w:sz w:val="20"/>
                <w:szCs w:val="20"/>
              </w:rPr>
              <w:t/>
            </w:r>
            <w:r>
              <w:rPr>
                <w:sz w:val="20"/>
                <w:szCs w:val="20"/>
              </w:rPr>
              <w:t/>
            </w:r>
          </w:p>
        </w:tc>
      </w:tr>
      <w:tr w:rsidR="00276CFD" w:rsidRPr="00DB7AB8" w14:paraId="2B879645" w14:textId="77777777" w:rsidTr="00795E3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2610" w:type="dxa"/>
            <w:vAlign w:val="center"/>
          </w:tcPr>
          <w:p w14:paraId="42EDF124" w14:textId="77777777" w:rsidR="00276CFD" w:rsidRPr="00AE245C" w:rsidRDefault="00276CFD" w:rsidP="00795E3D">
            <w:pPr>
              <w:spacing w:line="276" w:lineRule="auto"/>
              <w:rPr>
                <w:b w:val="0"/>
                <w:bCs w:val="0"/>
                <w:color w:val="404040" w:themeColor="text1" w:themeTint="BF"/>
                <w:sz w:val="20"/>
                <w:szCs w:val="20"/>
              </w:rPr>
            </w:pP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ALK</w:t>
            </w:r>
          </w:p>
        </w:tc>
        <w:tc>
          <w:tcPr>
            <w:tcW w:w="8100" w:type="dxa"/>
            <w:vAlign w:val="center"/>
          </w:tcPr>
          <w:p w14:paraId="3D48C3AD" w14:textId="77777777" w:rsidR="00276CFD" w:rsidRPr="005D7FE8" w:rsidRDefault="00276CFD" w:rsidP="00795E3D">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775336">
              <w:rPr>
                <w:sz w:val="20"/>
                <w:szCs w:val="20"/>
              </w:rPr>
              <w:t xml:space="preserve">Negative Finding</w:t>
            </w:r>
            <w:r>
              <w:rPr>
                <w:sz w:val="20"/>
                <w:szCs w:val="20"/>
              </w:rPr>
              <w:t/>
            </w:r>
            <w:r w:rsidRPr="00775336">
              <w:rPr>
                <w:sz w:val="20"/>
                <w:szCs w:val="20"/>
              </w:rPr>
              <w:t/>
            </w:r>
            <w:r>
              <w:rPr>
                <w:sz w:val="20"/>
                <w:szCs w:val="20"/>
              </w:rPr>
              <w:t/>
            </w:r>
          </w:p>
        </w:tc>
      </w:tr>
      <w:tr w:rsidR="00276CFD" w:rsidRPr="00DB7AB8" w14:paraId="2B879645" w14:textId="77777777" w:rsidTr="00795E3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2610" w:type="dxa"/>
            <w:vAlign w:val="center"/>
          </w:tcPr>
          <w:p w14:paraId="42EDF124" w14:textId="77777777" w:rsidR="00276CFD" w:rsidRPr="00AE245C" w:rsidRDefault="00276CFD" w:rsidP="00795E3D">
            <w:pPr>
              <w:spacing w:line="276" w:lineRule="auto"/>
              <w:rPr>
                <w:b w:val="0"/>
                <w:bCs w:val="0"/>
                <w:color w:val="404040" w:themeColor="text1" w:themeTint="BF"/>
                <w:sz w:val="20"/>
                <w:szCs w:val="20"/>
              </w:rPr>
            </w:pP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ROS1</w:t>
            </w:r>
          </w:p>
        </w:tc>
        <w:tc>
          <w:tcPr>
            <w:tcW w:w="8100" w:type="dxa"/>
            <w:vAlign w:val="center"/>
          </w:tcPr>
          <w:p w14:paraId="3D48C3AD" w14:textId="77777777" w:rsidR="00276CFD" w:rsidRPr="005D7FE8" w:rsidRDefault="00276CFD" w:rsidP="00795E3D">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775336">
              <w:rPr>
                <w:sz w:val="20"/>
                <w:szCs w:val="20"/>
              </w:rPr>
              <w:t xml:space="preserve">Negative Finding</w:t>
            </w:r>
            <w:r>
              <w:rPr>
                <w:sz w:val="20"/>
                <w:szCs w:val="20"/>
              </w:rPr>
              <w:t/>
            </w:r>
            <w:r w:rsidRPr="00775336">
              <w:rPr>
                <w:sz w:val="20"/>
                <w:szCs w:val="20"/>
              </w:rPr>
              <w:t/>
            </w:r>
            <w:r>
              <w:rPr>
                <w:sz w:val="20"/>
                <w:szCs w:val="20"/>
              </w:rPr>
              <w:t/>
            </w:r>
          </w:p>
        </w:tc>
      </w:tr>
    </w:tbl>
    <w:p w14:paraId="1DCE877E" w14:textId="77777777" w:rsidR="00222DAF" w:rsidRDefault="0063144D" w:rsidP="00222DAF">
      <w:pPr>
        <w:rPr>
          <w:color w:val="7F7F7F" w:themeColor="text1" w:themeTint="80"/>
          <w:sz w:val="20"/>
          <w:szCs w:val="20"/>
        </w:rPr>
      </w:pPr>
      <w:r>
        <w:rPr>
          <w:rFonts w:cstheme="minorHAnsi"/>
        </w:rPr>
        <w:t/>
      </w:r>
      <w:r w:rsidR="00222DAF">
        <w:rPr>
          <w:color w:val="7F7F7F" w:themeColor="text1" w:themeTint="80"/>
          <w:sz w:val="20"/>
          <w:szCs w:val="20"/>
        </w:rPr>
        <w:t/>
      </w:r>
      <w:r w:rsidR="00222DAF" w:rsidRPr="008E1095">
        <w:rPr>
          <w:color w:val="7F7F7F" w:themeColor="text1" w:themeTint="80"/>
          <w:sz w:val="20"/>
          <w:szCs w:val="20"/>
        </w:rPr>
        <w:t/>
      </w:r>
      <w:r w:rsidR="00222DAF">
        <w:rPr>
          <w:color w:val="7F7F7F" w:themeColor="text1" w:themeTint="80"/>
          <w:sz w:val="20"/>
          <w:szCs w:val="20"/>
        </w:rPr>
        <w:t xml:space="preserve"> </w:t>
      </w:r>
    </w:p>
    <w:p w14:paraId="1730AF3D" w14:textId="77777777" w:rsidR="00222DAF" w:rsidRPr="00936A8A" w:rsidRDefault="00222DAF" w:rsidP="00222DAF">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lastRenderedPageBreak/>
        <w:t xml:space="preserve">Other Reported Biomarkers</w:t>
      </w:r>
    </w:p>
    <w:tbl>
      <w:tblPr>
        <w:tblStyle w:val="TableGrid"/>
        <w:tblW w:w="110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44" w:type="dxa"/>
          <w:left w:w="158" w:type="dxa"/>
          <w:bottom w:w="144" w:type="dxa"/>
          <w:right w:w="158" w:type="dxa"/>
        </w:tblCellMar>
        <w:tblLook w:val="04A0" w:firstRow="1" w:lastRow="0" w:firstColumn="1" w:lastColumn="0" w:noHBand="0" w:noVBand="1"/>
      </w:tblPr>
      <w:tblGrid>
        <w:gridCol w:w="5501"/>
        <w:gridCol w:w="5547"/>
      </w:tblGrid>
      <w:tr w:rsidR="00222DAF" w:rsidRPr="009824DA" w14:paraId="4F7F22B9" w14:textId="77777777" w:rsidTr="00882293">
        <w:trPr>
          <w:trHeight w:val="930"/>
          <w:tblHeader/>
        </w:trPr>
        <w:tc>
          <w:tcPr>
            <w:tcW w:w="5501" w:type="dxa"/>
          </w:tcPr>
          <w:tbl>
            <w:tblPr>
              <w:tblStyle w:val="ListTable6Colorful-Accent3"/>
              <w:tblpPr w:leftFromText="180" w:rightFromText="180" w:vertAnchor="text" w:tblpY="1"/>
              <w:tblW w:w="5177" w:type="dxa"/>
              <w:tblLayout w:type="fixed"/>
              <w:tblLook w:val="04A0" w:firstRow="1" w:lastRow="0" w:firstColumn="1" w:lastColumn="0" w:noHBand="0" w:noVBand="1"/>
            </w:tblPr>
            <w:tblGrid>
              <w:gridCol w:w="1398"/>
              <w:gridCol w:w="1957"/>
              <w:gridCol w:w="1822"/>
            </w:tblGrid>
            <w:tr w:rsidR="00222DAF" w14:paraId="752924BE" w14:textId="77777777" w:rsidTr="00882293">
              <w:trPr>
                <w:cnfStyle w:val="100000000000" w:firstRow="1" w:lastRow="0" w:firstColumn="0" w:lastColumn="0" w:oddVBand="0" w:evenVBand="0" w:oddHBand="0"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1398" w:type="dxa"/>
                </w:tcPr>
                <w:p w14:paraId="41BF6F0F" w14:textId="77777777" w:rsidR="00222DAF" w:rsidRPr="002534FB" w:rsidRDefault="00222DAF" w:rsidP="00882293">
                  <w:pPr>
                    <w:rPr>
                      <w:rFonts w:ascii="Calibri" w:hAnsi="Calibri" w:cs="Calibri"/>
                      <w:color w:val="auto"/>
                      <w:szCs w:val="18"/>
                    </w:rPr>
                  </w:pPr>
                  <w:r w:rsidRPr="00D7205E">
                    <w:rPr>
                      <w:rFonts w:cstheme="minorHAnsi"/>
                      <w:smallCaps/>
                      <w:color w:val="0D0D0D" w:themeColor="text1" w:themeTint="F2"/>
                    </w:rPr>
                    <w:t xml:space="preserve">Gene</w:t>
                  </w:r>
                </w:p>
              </w:tc>
              <w:tc>
                <w:tcPr>
                  <w:tcW w:w="1957" w:type="dxa"/>
                </w:tcPr>
                <w:p w14:paraId="68145941" w14:textId="77777777" w:rsidR="00222DAF" w:rsidRPr="002534FB" w:rsidRDefault="00222DAF" w:rsidP="00882293">
                  <w:pPr>
                    <w:cnfStyle w:val="100000000000" w:firstRow="1" w:lastRow="0" w:firstColumn="0" w:lastColumn="0" w:oddVBand="0" w:evenVBand="0" w:oddHBand="0" w:evenHBand="0" w:firstRowFirstColumn="0" w:firstRowLastColumn="0" w:lastRowFirstColumn="0" w:lastRowLastColumn="0"/>
                    <w:rPr>
                      <w:rFonts w:ascii="Calibri" w:hAnsi="Calibri" w:cs="Calibri"/>
                      <w:color w:val="auto"/>
                      <w:szCs w:val="18"/>
                    </w:rPr>
                  </w:pPr>
                  <w:r w:rsidRPr="00D7205E">
                    <w:rPr>
                      <w:rFonts w:cstheme="minorHAnsi"/>
                      <w:smallCaps/>
                      <w:color w:val="0D0D0D" w:themeColor="text1" w:themeTint="F2"/>
                    </w:rPr>
                    <w:t xml:space="preserve">Type</w:t>
                  </w:r>
                </w:p>
              </w:tc>
              <w:tc>
                <w:tcPr>
                  <w:tcW w:w="1822" w:type="dxa"/>
                </w:tcPr>
                <w:p w14:paraId="6FB10567" w14:textId="77777777" w:rsidR="00222DAF" w:rsidRPr="002534FB" w:rsidRDefault="00222DAF" w:rsidP="00882293">
                  <w:pPr>
                    <w:cnfStyle w:val="100000000000" w:firstRow="1" w:lastRow="0" w:firstColumn="0" w:lastColumn="0" w:oddVBand="0" w:evenVBand="0" w:oddHBand="0" w:evenHBand="0" w:firstRowFirstColumn="0" w:firstRowLastColumn="0" w:lastRowFirstColumn="0" w:lastRowLastColumn="0"/>
                    <w:rPr>
                      <w:rFonts w:ascii="Calibri" w:hAnsi="Calibri" w:cs="Calibri"/>
                      <w:szCs w:val="18"/>
                    </w:rPr>
                  </w:pPr>
                  <w:r w:rsidRPr="00D7205E">
                    <w:rPr>
                      <w:rFonts w:cstheme="minorHAnsi"/>
                      <w:smallCaps/>
                      <w:color w:val="0D0D0D" w:themeColor="text1" w:themeTint="F2"/>
                    </w:rPr>
                    <w:t xml:space="preserve">Description</w:t>
                  </w:r>
                </w:p>
              </w:tc>
            </w:tr>
            <w:tr w:rsidR="00222DAF" w:rsidRPr="008D5EEC" w14:paraId="7B3BCE55" w14:textId="77777777" w:rsidTr="00882293">
              <w:trPr>
                <w:cnfStyle w:val="000000100000" w:firstRow="0" w:lastRow="0" w:firstColumn="0" w:lastColumn="0" w:oddVBand="0" w:evenVBand="0" w:oddHBand="1" w:evenHBand="0" w:firstRowFirstColumn="0" w:firstRowLastColumn="0" w:lastRowFirstColumn="0" w:lastRowLastColumn="0"/>
                <w:trHeight w:val="182"/>
              </w:trPr>
              <w:tc>
                <w:tcPr>
                  <w:cnfStyle w:val="001000000000" w:firstRow="0" w:lastRow="0" w:firstColumn="1" w:lastColumn="0" w:oddVBand="0" w:evenVBand="0" w:oddHBand="0" w:evenHBand="0" w:firstRowFirstColumn="0" w:firstRowLastColumn="0" w:lastRowFirstColumn="0" w:lastRowLastColumn="0"/>
                  <w:tcW w:w="1398" w:type="dxa"/>
                </w:tcPr>
                <w:p w14:paraId="4673959E"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MYCL</w:t>
                  </w:r>
                </w:p>
              </w:tc>
              <w:tc>
                <w:tcPr>
                  <w:tcW w:w="1957" w:type="dxa"/>
                </w:tcPr>
                <w:p w14:paraId="5B3FAD55"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22" w:type="dxa"/>
                </w:tcPr>
                <w:p w14:paraId="34E9750A"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r w:rsidR="00222DAF" w:rsidRPr="008D5EEC" w14:paraId="7B3BCE55" w14:textId="77777777" w:rsidTr="00882293">
              <w:trPr>
                <w:cnfStyle w:val="000000100000" w:firstRow="0" w:lastRow="0" w:firstColumn="0" w:lastColumn="0" w:oddVBand="0" w:evenVBand="0" w:oddHBand="1" w:evenHBand="0" w:firstRowFirstColumn="0" w:firstRowLastColumn="0" w:lastRowFirstColumn="0" w:lastRowLastColumn="0"/>
                <w:trHeight w:val="182"/>
              </w:trPr>
              <w:tc>
                <w:tcPr>
                  <w:cnfStyle w:val="001000000000" w:firstRow="0" w:lastRow="0" w:firstColumn="1" w:lastColumn="0" w:oddVBand="0" w:evenVBand="0" w:oddHBand="0" w:evenHBand="0" w:firstRowFirstColumn="0" w:firstRowLastColumn="0" w:lastRowFirstColumn="0" w:lastRowLastColumn="0"/>
                  <w:tcW w:w="1398" w:type="dxa"/>
                </w:tcPr>
                <w:p w14:paraId="4673959E"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TFRC</w:t>
                  </w:r>
                </w:p>
              </w:tc>
              <w:tc>
                <w:tcPr>
                  <w:tcW w:w="1957" w:type="dxa"/>
                </w:tcPr>
                <w:p w14:paraId="5B3FAD55"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22" w:type="dxa"/>
                </w:tcPr>
                <w:p w14:paraId="34E9750A"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r w:rsidR="00222DAF" w:rsidRPr="008D5EEC" w14:paraId="7B3BCE55" w14:textId="77777777" w:rsidTr="00882293">
              <w:trPr>
                <w:cnfStyle w:val="000000100000" w:firstRow="0" w:lastRow="0" w:firstColumn="0" w:lastColumn="0" w:oddVBand="0" w:evenVBand="0" w:oddHBand="1" w:evenHBand="0" w:firstRowFirstColumn="0" w:firstRowLastColumn="0" w:lastRowFirstColumn="0" w:lastRowLastColumn="0"/>
                <w:trHeight w:val="182"/>
              </w:trPr>
              <w:tc>
                <w:tcPr>
                  <w:cnfStyle w:val="001000000000" w:firstRow="0" w:lastRow="0" w:firstColumn="1" w:lastColumn="0" w:oddVBand="0" w:evenVBand="0" w:oddHBand="0" w:evenHBand="0" w:firstRowFirstColumn="0" w:firstRowLastColumn="0" w:lastRowFirstColumn="0" w:lastRowLastColumn="0"/>
                  <w:tcW w:w="1398" w:type="dxa"/>
                </w:tcPr>
                <w:p w14:paraId="4673959E"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ABL1</w:t>
                  </w:r>
                </w:p>
              </w:tc>
              <w:tc>
                <w:tcPr>
                  <w:tcW w:w="1957" w:type="dxa"/>
                </w:tcPr>
                <w:p w14:paraId="5B3FAD55"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Fusion</w:t>
                  </w:r>
                </w:p>
              </w:tc>
              <w:tc>
                <w:tcPr>
                  <w:tcW w:w="1822" w:type="dxa"/>
                </w:tcPr>
                <w:p w14:paraId="34E9750A"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Fusion with BCR</w:t>
                  </w:r>
                </w:p>
              </w:tc>
            </w:tr>
          </w:tbl>
          <w:p w14:paraId="40677A94" w14:textId="77777777" w:rsidR="00222DAF" w:rsidRPr="009824DA" w:rsidRDefault="00222DAF" w:rsidP="00882293">
            <w:pPr>
              <w:rPr>
                <w:rFonts w:asciiTheme="majorHAnsi" w:hAnsiTheme="majorHAnsi" w:cstheme="majorHAnsi"/>
                <w:color w:val="7F7F7F" w:themeColor="text1" w:themeTint="80"/>
                <w:sz w:val="18"/>
                <w:szCs w:val="18"/>
              </w:rPr>
            </w:pPr>
          </w:p>
        </w:tc>
        <w:tc>
          <w:tcPr>
            <w:tcW w:w="5547" w:type="dxa"/>
          </w:tcPr>
          <w:tbl>
            <w:tblPr>
              <w:tblStyle w:val="ListTable6Colorful-Accent3"/>
              <w:tblpPr w:leftFromText="180" w:rightFromText="180" w:vertAnchor="text" w:tblpY="1"/>
              <w:tblW w:w="5400" w:type="dxa"/>
              <w:tblLayout w:type="fixed"/>
              <w:tblLook w:val="04A0" w:firstRow="1" w:lastRow="0" w:firstColumn="1" w:lastColumn="0" w:noHBand="0" w:noVBand="1"/>
            </w:tblPr>
            <w:tblGrid>
              <w:gridCol w:w="1506"/>
              <w:gridCol w:w="2038"/>
              <w:gridCol w:w="1856"/>
            </w:tblGrid>
            <w:tr w:rsidR="00222DAF" w14:paraId="4EBDBC2E" w14:textId="77777777" w:rsidTr="00882293">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506" w:type="dxa"/>
                </w:tcPr>
                <w:p w14:paraId="5CD66897" w14:textId="77777777" w:rsidR="00222DAF" w:rsidRPr="003F47F5" w:rsidRDefault="00222DAF" w:rsidP="00882293">
                  <w:pPr>
                    <w:rPr>
                      <w:rFonts w:ascii="Calibri" w:hAnsi="Calibri"/>
                      <w:color w:val="auto"/>
                      <w:szCs w:val="18"/>
                    </w:rPr>
                  </w:pPr>
                  <w:r w:rsidRPr="00D7205E">
                    <w:rPr>
                      <w:rFonts w:cstheme="minorHAnsi"/>
                      <w:smallCaps/>
                      <w:color w:val="0D0D0D" w:themeColor="text1" w:themeTint="F2"/>
                    </w:rPr>
                    <w:t xml:space="preserve">Gene</w:t>
                  </w:r>
                </w:p>
              </w:tc>
              <w:tc>
                <w:tcPr>
                  <w:tcW w:w="2038" w:type="dxa"/>
                </w:tcPr>
                <w:p w14:paraId="2877471E" w14:textId="77777777" w:rsidR="00222DAF" w:rsidRPr="003F47F5" w:rsidRDefault="00222DAF" w:rsidP="00882293">
                  <w:pPr>
                    <w:cnfStyle w:val="100000000000" w:firstRow="1" w:lastRow="0" w:firstColumn="0" w:lastColumn="0" w:oddVBand="0" w:evenVBand="0" w:oddHBand="0" w:evenHBand="0" w:firstRowFirstColumn="0" w:firstRowLastColumn="0" w:lastRowFirstColumn="0" w:lastRowLastColumn="0"/>
                    <w:rPr>
                      <w:rFonts w:ascii="Calibri" w:hAnsi="Calibri"/>
                      <w:color w:val="auto"/>
                      <w:szCs w:val="18"/>
                    </w:rPr>
                  </w:pPr>
                  <w:r w:rsidRPr="00D7205E">
                    <w:rPr>
                      <w:rFonts w:cstheme="minorHAnsi"/>
                      <w:smallCaps/>
                      <w:color w:val="0D0D0D" w:themeColor="text1" w:themeTint="F2"/>
                    </w:rPr>
                    <w:t xml:space="preserve">Type</w:t>
                  </w:r>
                </w:p>
              </w:tc>
              <w:tc>
                <w:tcPr>
                  <w:tcW w:w="1856" w:type="dxa"/>
                </w:tcPr>
                <w:p w14:paraId="02F010B6" w14:textId="77777777" w:rsidR="00222DAF" w:rsidRPr="00D7205E" w:rsidRDefault="00222DAF" w:rsidP="00882293">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sidRPr="00D7205E">
                    <w:rPr>
                      <w:rFonts w:cstheme="minorHAnsi"/>
                      <w:smallCaps/>
                      <w:color w:val="0D0D0D" w:themeColor="text1" w:themeTint="F2"/>
                    </w:rPr>
                    <w:t xml:space="preserve">Description</w:t>
                  </w:r>
                </w:p>
              </w:tc>
            </w:tr>
            <w:tr w:rsidR="00222DAF" w:rsidRPr="008D5EEC" w14:paraId="205C712D" w14:textId="77777777" w:rsidTr="00882293">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506" w:type="dxa"/>
                </w:tcPr>
                <w:p w14:paraId="5FE9150A"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PIK3CB</w:t>
                  </w:r>
                </w:p>
              </w:tc>
              <w:tc>
                <w:tcPr>
                  <w:tcW w:w="2038" w:type="dxa"/>
                </w:tcPr>
                <w:p w14:paraId="0BD919CC"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56" w:type="dxa"/>
                </w:tcPr>
                <w:p w14:paraId="22BF4F93"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r w:rsidR="00222DAF" w:rsidRPr="008D5EEC" w14:paraId="205C712D" w14:textId="77777777" w:rsidTr="00882293">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506" w:type="dxa"/>
                </w:tcPr>
                <w:p w14:paraId="5FE9150A"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ERCC2</w:t>
                  </w:r>
                </w:p>
              </w:tc>
              <w:tc>
                <w:tcPr>
                  <w:tcW w:w="2038" w:type="dxa"/>
                </w:tcPr>
                <w:p w14:paraId="0BD919CC"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56" w:type="dxa"/>
                </w:tcPr>
                <w:p w14:paraId="22BF4F93"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bl>
          <w:p w14:paraId="156E9CB9" w14:textId="77777777" w:rsidR="00222DAF" w:rsidRPr="009824DA" w:rsidRDefault="00222DAF" w:rsidP="00882293">
            <w:pPr>
              <w:rPr>
                <w:rFonts w:asciiTheme="majorHAnsi" w:hAnsiTheme="majorHAnsi" w:cstheme="majorHAnsi"/>
                <w:color w:val="7F7F7F" w:themeColor="text1" w:themeTint="80"/>
                <w:sz w:val="18"/>
                <w:szCs w:val="18"/>
              </w:rPr>
            </w:pPr>
          </w:p>
        </w:tc>
      </w:tr>
    </w:tbl>
    <w:p w14:paraId="411BACF4" w14:textId="3D468538" w:rsidR="00276CFD" w:rsidRPr="00102DF1" w:rsidRDefault="00222DAF" w:rsidP="00BF5412">
      <w:pPr>
        <w:rPr>
          <w:rFonts w:cstheme="minorHAnsi"/>
        </w:rPr>
      </w:pPr>
      <w:r>
        <w:rPr>
          <w:color w:val="7F7F7F" w:themeColor="text1" w:themeTint="80"/>
          <w:sz w:val="20"/>
          <w:szCs w:val="20"/>
        </w:rPr>
        <w:t/>
      </w:r>
      <w:r w:rsidR="00396E39">
        <w:rPr>
          <w:rFonts w:cstheme="minorHAnsi"/>
        </w:rPr>
        <w:t/>
      </w:r>
      <w:r w:rsidR="00396E39">
        <w:t/>
      </w:r>
      <w:r w:rsidR="00396E39" w:rsidRPr="00EB3D00">
        <w:rPr>
          <w:color w:val="7F7F7F" w:themeColor="text1" w:themeTint="80"/>
          <w:sz w:val="20"/>
          <w:szCs w:val="20"/>
        </w:rPr>
        <w:t/>
      </w:r>
      <w:r w:rsidR="00396E39">
        <w:rPr>
          <w:color w:val="7F7F7F" w:themeColor="text1" w:themeTint="80"/>
          <w:sz w:val="20"/>
          <w:szCs w:val="20"/>
        </w:rPr>
        <w:t/>
      </w:r>
    </w:p>
    <w:p w14:paraId="755F68CC" w14:textId="2F1DAB26" w:rsidR="00A12884" w:rsidRPr="00954647" w:rsidRDefault="00A12884" w:rsidP="00A12884">
      <w:pPr>
        <w:pStyle w:val="Heading1"/>
        <w:rPr>
          <w:rFonts w:asciiTheme="minorHAnsi" w:hAnsiTheme="minorHAnsi" w:cstheme="minorHAnsi"/>
          <w:b/>
          <w:color w:val="000000" w:themeColor="text1"/>
          <w:u w:val="single"/>
        </w:rPr>
      </w:pPr>
      <w:r>
        <w:rPr>
          <w:rFonts w:asciiTheme="minorHAnsi" w:hAnsiTheme="minorHAnsi" w:cstheme="minorHAnsi"/>
          <w:b/>
          <w:smallCaps/>
          <w:color w:val="0D0D0D" w:themeColor="text1" w:themeTint="F2"/>
          <w:spacing w:val="10"/>
          <w:sz w:val="28"/>
          <w:u w:val="single"/>
        </w:rPr>
        <w:t xml:space="preserve">V</w:t>
      </w:r>
      <w:r w:rsidRPr="00102DF1">
        <w:rPr>
          <w:rFonts w:asciiTheme="minorHAnsi" w:hAnsiTheme="minorHAnsi" w:cstheme="minorHAnsi"/>
          <w:b/>
          <w:smallCaps/>
          <w:color w:val="0D0D0D" w:themeColor="text1" w:themeTint="F2"/>
          <w:spacing w:val="10"/>
          <w:sz w:val="28"/>
          <w:u w:val="single"/>
        </w:rPr>
        <w:t xml:space="preserve">ariants with </w:t>
      </w:r>
      <w:r w:rsidR="00F0225E">
        <w:rPr>
          <w:rFonts w:asciiTheme="minorHAnsi" w:hAnsiTheme="minorHAnsi" w:cstheme="minorHAnsi"/>
          <w:b/>
          <w:smallCaps/>
          <w:color w:val="0D0D0D" w:themeColor="text1" w:themeTint="F2"/>
          <w:spacing w:val="10"/>
          <w:sz w:val="28"/>
          <w:u w:val="single"/>
        </w:rPr>
        <w:t xml:space="preserve">Uncertain</w:t>
      </w:r>
      <w:r w:rsidRPr="00102DF1">
        <w:rPr>
          <w:rFonts w:asciiTheme="minorHAnsi" w:hAnsiTheme="minorHAnsi" w:cstheme="minorHAnsi"/>
          <w:b/>
          <w:smallCaps/>
          <w:color w:val="0D0D0D" w:themeColor="text1" w:themeTint="F2"/>
          <w:spacing w:val="10"/>
          <w:sz w:val="28"/>
          <w:u w:val="single"/>
        </w:rPr>
        <w:t xml:space="preserve"> </w:t>
      </w:r>
      <w:r>
        <w:rPr>
          <w:rFonts w:asciiTheme="minorHAnsi" w:hAnsiTheme="minorHAnsi" w:cstheme="minorHAnsi"/>
          <w:b/>
          <w:smallCaps/>
          <w:color w:val="0D0D0D" w:themeColor="text1" w:themeTint="F2"/>
          <w:spacing w:val="10"/>
          <w:sz w:val="28"/>
          <w:u w:val="single"/>
        </w:rPr>
        <w:t xml:space="preserve">C</w:t>
      </w:r>
      <w:r w:rsidRPr="00102DF1">
        <w:rPr>
          <w:rFonts w:asciiTheme="minorHAnsi" w:hAnsiTheme="minorHAnsi" w:cstheme="minorHAnsi"/>
          <w:b/>
          <w:smallCaps/>
          <w:color w:val="0D0D0D" w:themeColor="text1" w:themeTint="F2"/>
          <w:spacing w:val="10"/>
          <w:sz w:val="28"/>
          <w:u w:val="single"/>
        </w:rPr>
        <w:t xml:space="preserve">linical </w:t>
      </w:r>
      <w:r>
        <w:rPr>
          <w:rFonts w:asciiTheme="minorHAnsi" w:hAnsiTheme="minorHAnsi" w:cstheme="minorHAnsi"/>
          <w:b/>
          <w:smallCaps/>
          <w:color w:val="0D0D0D" w:themeColor="text1" w:themeTint="F2"/>
          <w:spacing w:val="10"/>
          <w:sz w:val="28"/>
          <w:u w:val="single"/>
        </w:rPr>
        <w:t xml:space="preserve">S</w:t>
      </w:r>
      <w:r w:rsidRPr="00102DF1">
        <w:rPr>
          <w:rFonts w:asciiTheme="minorHAnsi" w:hAnsiTheme="minorHAnsi" w:cstheme="minorHAnsi"/>
          <w:b/>
          <w:smallCaps/>
          <w:color w:val="0D0D0D" w:themeColor="text1" w:themeTint="F2"/>
          <w:spacing w:val="10"/>
          <w:sz w:val="28"/>
          <w:u w:val="single"/>
        </w:rPr>
        <w:t xml:space="preserve">ignificance</w:t>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p>
    <w:p w14:paraId="68445D75" w14:textId="46D2AE6B" w:rsidR="00A12884" w:rsidRPr="00A2125A" w:rsidRDefault="00244056" w:rsidP="00A12884">
      <w:pPr>
        <w:spacing w:before="240"/>
        <w:rPr>
          <w:color w:val="595959" w:themeColor="text1" w:themeTint="A6"/>
          <w:sz w:val="20"/>
          <w:szCs w:val="20"/>
        </w:rPr>
      </w:pPr>
      <w:r>
        <w:rPr>
          <w:color w:val="595959" w:themeColor="text1" w:themeTint="A6"/>
          <w:sz w:val="20"/>
          <w:szCs w:val="20"/>
        </w:rPr>
        <w:t/>
      </w:r>
      <w:r w:rsidR="009615BC">
        <w:rPr>
          <w:color w:val="7F7F7F" w:themeColor="text1" w:themeTint="80"/>
          <w:sz w:val="20"/>
          <w:szCs w:val="20"/>
        </w:rPr>
        <w:t/>
      </w:r>
      <w:r w:rsidR="009615BC" w:rsidRPr="00A97162">
        <w:rPr>
          <w:color w:val="7F7F7F" w:themeColor="text1" w:themeTint="80"/>
          <w:sz w:val="20"/>
          <w:szCs w:val="20"/>
        </w:rPr>
        <w:t/>
      </w:r>
      <w:r w:rsidR="009615BC">
        <w:rPr>
          <w:color w:val="7F7F7F" w:themeColor="text1" w:themeTint="80"/>
          <w:sz w:val="20"/>
          <w:szCs w:val="20"/>
        </w:rPr>
        <w:t/>
      </w:r>
      <w:r w:rsidR="00E417B8">
        <w:rPr>
          <w:color w:val="7F7F7F" w:themeColor="text1" w:themeTint="80"/>
          <w:sz w:val="20"/>
          <w:szCs w:val="20"/>
        </w:rPr>
        <w:tab/>
      </w:r>
      <w:r w:rsidR="00E417B8">
        <w:rPr>
          <w:color w:val="7F7F7F" w:themeColor="text1" w:themeTint="80"/>
          <w:sz w:val="20"/>
          <w:szCs w:val="20"/>
        </w:rPr>
        <w:tab/>
      </w:r>
    </w:p>
    <w:p w14:paraId="2DF44424" w14:textId="77777777" w:rsidR="00286A8C" w:rsidRPr="00D7205E" w:rsidRDefault="00286A8C" w:rsidP="00286A8C">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 Germline</w:t>
      </w:r>
      <w:r w:rsidRPr="00D7205E">
        <w:rPr>
          <w:rFonts w:cstheme="majorHAnsi"/>
          <w:b/>
          <w:smallCaps/>
          <w:color w:val="FFFFFF" w:themeColor="background1"/>
          <w:spacing w:val="10"/>
        </w:rPr>
        <w:t xml:space="preserve"> Alterations Detected</w:t>
      </w:r>
    </w:p>
    <w:tbl>
      <w:tblPr>
        <w:tblStyle w:val="ListTable6Colorful-Accent3"/>
        <w:tblpPr w:leftFromText="180" w:rightFromText="180" w:vertAnchor="text" w:tblpY="1"/>
        <w:tblOverlap w:val="never"/>
        <w:tblW w:w="10799" w:type="dxa"/>
        <w:tblLayout w:type="fixed"/>
        <w:tblLook w:val="04A0" w:firstRow="1" w:lastRow="0" w:firstColumn="1" w:lastColumn="0" w:noHBand="0" w:noVBand="1"/>
      </w:tblPr>
      <w:tblGrid>
        <w:gridCol w:w="1350"/>
        <w:gridCol w:w="1350"/>
        <w:gridCol w:w="1799"/>
        <w:gridCol w:w="1799"/>
        <w:gridCol w:w="2702"/>
        <w:gridCol w:w="1799"/>
      </w:tblGrid>
      <w:tr w:rsidR="00286A8C" w14:paraId="4FE6F457" w14:textId="77777777" w:rsidTr="00287E21">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1350" w:type="dxa"/>
            <w:vAlign w:val="bottom"/>
          </w:tcPr>
          <w:p w14:paraId="0EE6D566" w14:textId="77777777" w:rsidR="00286A8C" w:rsidRPr="00D7205E" w:rsidRDefault="00286A8C">
            <w:pPr>
              <w:rPr>
                <w:rFonts w:cstheme="minorHAnsi"/>
                <w:color w:val="0D0D0D" w:themeColor="text1" w:themeTint="F2"/>
                <w:sz w:val="20"/>
                <w:szCs w:val="20"/>
              </w:rPr>
            </w:pPr>
            <w:r w:rsidRPr="00D7205E">
              <w:rPr>
                <w:rFonts w:cstheme="minorHAnsi"/>
                <w:smallCaps/>
                <w:color w:val="0D0D0D" w:themeColor="text1" w:themeTint="F2"/>
              </w:rPr>
              <w:t xml:space="preserve">Gene</w:t>
            </w:r>
          </w:p>
        </w:tc>
        <w:tc>
          <w:tcPr>
            <w:tcW w:w="1350" w:type="dxa"/>
            <w:vAlign w:val="bottom"/>
          </w:tcPr>
          <w:p w14:paraId="489565FF"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Type</w:t>
            </w:r>
          </w:p>
        </w:tc>
        <w:tc>
          <w:tcPr>
            <w:tcW w:w="1799" w:type="dxa"/>
            <w:vAlign w:val="bottom"/>
          </w:tcPr>
          <w:p w14:paraId="2676CD77"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Description</w:t>
            </w:r>
          </w:p>
        </w:tc>
        <w:tc>
          <w:tcPr>
            <w:tcW w:w="1799" w:type="dxa"/>
            <w:vAlign w:val="bottom"/>
          </w:tcPr>
          <w:p w14:paraId="36B5224D"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Genotype</w:t>
            </w:r>
          </w:p>
        </w:tc>
        <w:tc>
          <w:tcPr>
            <w:tcW w:w="2702" w:type="dxa"/>
            <w:vAlign w:val="bottom"/>
          </w:tcPr>
          <w:p w14:paraId="5DF1B62B"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Disease Risk</w:t>
            </w:r>
          </w:p>
        </w:tc>
        <w:tc>
          <w:tcPr>
            <w:tcW w:w="1799" w:type="dxa"/>
            <w:vAlign w:val="bottom"/>
          </w:tcPr>
          <w:p w14:paraId="1CE6736E" w14:textId="77777777" w:rsidR="00286A8C" w:rsidRDefault="00286A8C">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Classification</w:t>
            </w:r>
          </w:p>
        </w:tc>
      </w:tr>
      <w:tr w:rsidR="00176C59" w14:paraId="20380AD3" w14:textId="77777777" w:rsidTr="00287E21">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1350" w:type="dxa"/>
            <w:vAlign w:val="center"/>
          </w:tcPr>
          <w:p w14:paraId="6A387BFA" w14:textId="2196638A" w:rsidR="00176C59" w:rsidRPr="005D7FE8" w:rsidRDefault="00176C59" w:rsidP="00176C59">
            <w:pPr>
              <w:spacing w:line="276" w:lineRule="auto"/>
              <w:rPr>
                <w:b w:val="0"/>
                <w:i/>
                <w:color w:val="404040" w:themeColor="text1" w:themeTint="BF"/>
                <w:sz w:val="20"/>
                <w:szCs w:val="20"/>
              </w:rPr>
            </w:pPr>
            <w:r>
              <w:rPr>
                <w:b w:val="0"/>
                <w:i/>
                <w:color w:val="404040" w:themeColor="text1" w:themeTint="BF"/>
                <w:sz w:val="20"/>
                <w:szCs w:val="20"/>
              </w:rPr>
              <w:t/>
            </w:r>
            <w:r w:rsidRPr="006B4BC9">
              <w:rPr>
                <w:b w:val="0"/>
                <w:i/>
                <w:color w:val="404040" w:themeColor="text1" w:themeTint="BF"/>
                <w:sz w:val="20"/>
                <w:szCs w:val="20"/>
              </w:rPr>
              <w:t/>
            </w:r>
            <w:r>
              <w:rPr>
                <w:b w:val="0"/>
                <w:i/>
                <w:color w:val="404040" w:themeColor="text1" w:themeTint="BF"/>
                <w:sz w:val="20"/>
                <w:szCs w:val="20"/>
              </w:rPr>
              <w:t xml:space="preserve">RAF1</w:t>
            </w:r>
          </w:p>
        </w:tc>
        <w:tc>
          <w:tcPr>
            <w:tcW w:w="1350" w:type="dxa"/>
            <w:vAlign w:val="center"/>
          </w:tcPr>
          <w:p w14:paraId="13F925E0" w14:textId="2F399A4F" w:rsidR="00176C59" w:rsidRPr="005D7FE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Missense Variant</w:t>
            </w:r>
          </w:p>
        </w:tc>
        <w:tc>
          <w:tcPr>
            <w:tcW w:w="1799" w:type="dxa"/>
            <w:vAlign w:val="center"/>
          </w:tcPr>
          <w:p w14:paraId="582EC61C" w14:textId="1C3CAFCB" w:rsidR="00176C59" w:rsidRPr="005D7FE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Ser257Leu</w:t>
            </w:r>
          </w:p>
        </w:tc>
        <w:tc>
          <w:tcPr>
            <w:tcW w:w="1799" w:type="dxa"/>
            <w:vAlign w:val="center"/>
          </w:tcPr>
          <w:p w14:paraId="157301CE" w14:textId="6BA1F5D3" w:rsidR="00176C59"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Heterozygous</w:t>
            </w:r>
          </w:p>
        </w:tc>
        <w:tc>
          <w:tcPr>
            <w:tcW w:w="2702" w:type="dxa"/>
            <w:vAlign w:val="center"/>
          </w:tcPr>
          <w:p w14:paraId="7819094F" w14:textId="748058BD" w:rsidR="00176C59" w:rsidRPr="005D7FE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Autosomal Dominant</w:t>
            </w:r>
            <w:proofErr w:type="spellStart"/>
            <w:r>
              <w:rPr>
                <w:color w:val="404040" w:themeColor="text1" w:themeTint="BF"/>
                <w:sz w:val="20"/>
                <w:szCs w:val="20"/>
              </w:rPr>
              <w:t/>
            </w:r>
            <w:proofErr w:type="spellEnd"/>
            <w:r>
              <w:rPr>
                <w:color w:val="404040" w:themeColor="text1" w:themeTint="BF"/>
                <w:sz w:val="20"/>
                <w:szCs w:val="20"/>
              </w:rPr>
              <w:t/>
            </w:r>
          </w:p>
        </w:tc>
        <w:tc>
          <w:tcPr>
            <w:tcW w:w="1799" w:type="dxa"/>
            <w:vAlign w:val="center"/>
          </w:tcPr>
          <w:p w14:paraId="738714DB" w14:textId="7D78ADB0" w:rsidR="00176C59" w:rsidRPr="00DB7AB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color w:val="833C0B"/>
              </w:rPr>
              <w:t xml:space="preserve">Pathogenic</w:t>
            </w:r>
          </w:p>
        </w:tc>
      </w:tr>
    </w:tbl>
    <w:p w14:paraId="048C04E7" w14:textId="5793B5E7" w:rsidR="000A0E94" w:rsidRDefault="009615BC" w:rsidP="00F1138F">
      <w:pPr>
        <w:spacing w:before="200" w:after="0"/>
        <w:rPr>
          <w:b/>
          <w:color w:val="7F7F7F" w:themeColor="text1" w:themeTint="80"/>
          <w:sz w:val="20"/>
          <w:szCs w:val="20"/>
        </w:rPr>
      </w:pPr>
      <w:r>
        <w:rPr>
          <w:b/>
          <w:color w:val="7F7F7F" w:themeColor="text1" w:themeTint="80"/>
          <w:sz w:val="20"/>
          <w:szCs w:val="20"/>
        </w:rPr>
        <w:t/>
      </w:r>
      <w:r w:rsidR="00396E39">
        <w:rPr>
          <w:b/>
          <w:color w:val="7F7F7F" w:themeColor="text1" w:themeTint="80"/>
          <w:sz w:val="20"/>
          <w:szCs w:val="20"/>
        </w:rPr>
        <w:t/>
      </w:r>
    </w:p>
    <w:p w14:paraId="0366BAE6" w14:textId="7963CBBD" w:rsidR="00F1138F" w:rsidRPr="00DE1564" w:rsidRDefault="00F1138F" w:rsidP="00F1138F">
      <w:pPr>
        <w:spacing w:before="200" w:after="0"/>
        <w:rPr>
          <w:rFonts w:cs="Calibri Light (Headings)"/>
          <w:b/>
          <w:smallCaps/>
          <w:color w:val="0D0D0D" w:themeColor="text1" w:themeTint="F2"/>
          <w:spacing w:val="10"/>
          <w:sz w:val="28"/>
          <w:u w:val="single"/>
        </w:rPr>
      </w:pPr>
      <w:r w:rsidRPr="00DE1564">
        <w:rPr>
          <w:rFonts w:cs="Calibri Light (Headings)"/>
          <w:b/>
          <w:smallCaps/>
          <w:color w:val="0D0D0D" w:themeColor="text1" w:themeTint="F2"/>
          <w:spacing w:val="10"/>
          <w:sz w:val="28"/>
          <w:u w:val="single"/>
        </w:rPr>
        <w:t xml:space="preserve">Relevant Clinical Trials</w:t>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p>
    <w:p w14:paraId="171CBC22" w14:textId="77777777" w:rsidR="00F1138F" w:rsidRPr="00D7205E" w:rsidRDefault="00F1138F" w:rsidP="00F1138F">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Clinical Trials Summary</w:t>
      </w:r>
    </w:p>
    <w:tbl>
      <w:tblPr>
        <w:tblStyle w:val="ListTable6Colorful-Accent3"/>
        <w:tblpPr w:leftFromText="180" w:rightFromText="180" w:vertAnchor="text" w:tblpX="108" w:tblpY="1"/>
        <w:tblOverlap w:val="never"/>
        <w:tblW w:w="10818" w:type="dxa"/>
        <w:tblLayout w:type="fixed"/>
        <w:tblLook w:val="04A0" w:firstRow="1" w:lastRow="0" w:firstColumn="1" w:lastColumn="0" w:noHBand="0" w:noVBand="1"/>
      </w:tblPr>
      <w:tblGrid>
        <w:gridCol w:w="2178"/>
        <w:gridCol w:w="1980"/>
        <w:gridCol w:w="2790"/>
        <w:gridCol w:w="2592"/>
        <w:gridCol w:w="1278"/>
      </w:tblGrid>
      <w:tr w:rsidR="00F1138F" w14:paraId="1766FC2D" w14:textId="77777777" w:rsidTr="00BF5412">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2178" w:type="dxa"/>
            <w:vAlign w:val="bottom"/>
          </w:tcPr>
          <w:p w14:paraId="446A2F21" w14:textId="77777777" w:rsidR="00F1138F" w:rsidRPr="00D7205E" w:rsidRDefault="00F1138F" w:rsidP="00BF5412">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1980" w:type="dxa"/>
            <w:vAlign w:val="bottom"/>
          </w:tcPr>
          <w:p w14:paraId="389EE978" w14:textId="77777777" w:rsidR="00F1138F" w:rsidRPr="00D7205E"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Type</w:t>
            </w:r>
          </w:p>
        </w:tc>
        <w:tc>
          <w:tcPr>
            <w:tcW w:w="2790" w:type="dxa"/>
            <w:vAlign w:val="bottom"/>
          </w:tcPr>
          <w:p w14:paraId="436F6A53" w14:textId="77777777" w:rsidR="00F1138F" w:rsidRPr="00D7205E"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NCT ID</w:t>
            </w:r>
          </w:p>
        </w:tc>
        <w:tc>
          <w:tcPr>
            <w:tcW w:w="2592" w:type="dxa"/>
            <w:vAlign w:val="bottom"/>
          </w:tcPr>
          <w:p w14:paraId="244EC1CE" w14:textId="77777777" w:rsidR="00F1138F" w:rsidRPr="00D7205E"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Drugs</w:t>
            </w:r>
          </w:p>
        </w:tc>
        <w:tc>
          <w:tcPr>
            <w:tcW w:w="1278" w:type="dxa"/>
            <w:vAlign w:val="bottom"/>
          </w:tcPr>
          <w:p w14:paraId="7C6DB288" w14:textId="77777777" w:rsidR="00F1138F"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Phase</w:t>
            </w:r>
          </w:p>
        </w:tc>
      </w:tr>
      <w:tr w:rsidR="008E521A" w14:paraId="018F70E5" w14:textId="77777777" w:rsidTr="00BF5412">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420C80C1" w14:textId="7C51FCBA" w:rsidR="008E521A" w:rsidRPr="005D7FE8" w:rsidRDefault="008E521A" w:rsidP="008E521A">
            <w:pPr>
              <w:spacing w:line="276" w:lineRule="auto"/>
              <w:rPr>
                <w:b w:val="0"/>
                <w:i/>
                <w:color w:val="404040" w:themeColor="text1" w:themeTint="BF"/>
                <w:sz w:val="20"/>
                <w:szCs w:val="20"/>
              </w:rPr>
            </w:pPr>
            <w:r>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Unspecified</w:t>
            </w:r>
            <w:r>
              <w:rPr>
                <w:rFonts w:cstheme="minorHAnsi"/>
                <w:smallCaps/>
                <w:color w:val="0D0D0D" w:themeColor="text1" w:themeTint="F2"/>
              </w:rPr>
              <w:t/>
            </w:r>
          </w:p>
        </w:tc>
        <w:tc>
          <w:tcPr>
            <w:tcW w:w="1980" w:type="dxa"/>
            <w:vAlign w:val="center"/>
          </w:tcPr>
          <w:p w14:paraId="74B435C4" w14:textId="3220B5C0"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Disease</w:t>
            </w:r>
          </w:p>
        </w:tc>
        <w:tc>
          <w:tcPr>
            <w:tcW w:w="2790" w:type="dxa"/>
            <w:vAlign w:val="center"/>
          </w:tcPr>
          <w:p w14:paraId="3BCDD440" w14:textId="2F208116"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NCT03811002</w:t>
            </w:r>
            <w:r>
              <w:br/>
            </w:r>
            <w:r>
              <w:br/>
            </w:r>
            <w:r>
              <w:rPr>
                <w:sz w:val="20"/>
                <w:szCs w:val="20"/>
              </w:rPr>
              <w:t xml:space="preserve">NCT05091567</w:t>
            </w:r>
            <w:r>
              <w:br/>
            </w:r>
            <w:r>
              <w:br/>
            </w:r>
            <w:r>
              <w:rPr>
                <w:sz w:val="20"/>
                <w:szCs w:val="20"/>
              </w:rPr>
              <w:t xml:space="preserve">NCT03782207</w:t>
            </w:r>
            <w:proofErr w:type="spellStart"/>
            <w:r>
              <w:rPr>
                <w:color w:val="404040" w:themeColor="text1" w:themeTint="BF"/>
                <w:sz w:val="20"/>
                <w:szCs w:val="20"/>
              </w:rPr>
              <w:t/>
            </w:r>
            <w:proofErr w:type="spellEnd"/>
            <w:r>
              <w:rPr>
                <w:color w:val="404040" w:themeColor="text1" w:themeTint="BF"/>
                <w:sz w:val="20"/>
                <w:szCs w:val="20"/>
              </w:rPr>
              <w:t/>
            </w:r>
          </w:p>
        </w:tc>
        <w:tc>
          <w:tcPr>
            <w:tcW w:w="2592" w:type="dxa"/>
            <w:vAlign w:val="center"/>
          </w:tcPr>
          <w:p w14:paraId="616ACA7E" w14:textId="12564D8E"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Atezolizumab</w:t>
            </w:r>
            <w:r>
              <w:br/>
            </w:r>
            <w:r>
              <w:br/>
            </w:r>
            <w:r>
              <w:rPr>
                <w:sz w:val="20"/>
                <w:szCs w:val="20"/>
              </w:rPr>
              <w:t xml:space="preserve">Atezolizumab</w:t>
            </w:r>
            <w:r>
              <w:br/>
            </w:r>
            <w:r>
              <w:br/>
            </w:r>
            <w:r>
              <w:rPr>
                <w:sz w:val="20"/>
                <w:szCs w:val="20"/>
              </w:rPr>
              <w:t xml:space="preserve">Atezolizumab</w:t>
            </w:r>
          </w:p>
        </w:tc>
        <w:tc>
          <w:tcPr>
            <w:tcW w:w="1278" w:type="dxa"/>
            <w:vAlign w:val="center"/>
          </w:tcPr>
          <w:p w14:paraId="65DD9AFB" w14:textId="152D2E7B" w:rsidR="008E521A" w:rsidRPr="00DB7AB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rPr>
              <w:t xml:space="preserve">II/III</w:t>
            </w:r>
            <w:r>
              <w:br/>
            </w:r>
            <w:r>
              <w:br/>
            </w:r>
            <w:r>
              <w:rPr>
                <w:sz w:val="20"/>
                <w:szCs w:val="20"/>
              </w:rPr>
              <w:t xml:space="preserve">III</w:t>
            </w:r>
            <w:r>
              <w:br/>
            </w:r>
            <w:r>
              <w:br/>
            </w:r>
          </w:p>
        </w:tc>
      </w:tr>
      <w:tr w:rsidR="008E521A" w14:paraId="018F70E5" w14:textId="77777777" w:rsidTr="00BF5412">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420C80C1" w14:textId="7C51FCBA" w:rsidR="008E521A" w:rsidRPr="005D7FE8" w:rsidRDefault="008E521A" w:rsidP="008E521A">
            <w:pPr>
              <w:spacing w:line="276" w:lineRule="auto"/>
              <w:rPr>
                <w:b w:val="0"/>
                <w:i/>
                <w:color w:val="404040" w:themeColor="text1" w:themeTint="BF"/>
                <w:sz w:val="20"/>
                <w:szCs w:val="20"/>
              </w:rPr>
            </w:pPr>
            <w:r>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BRAF V600E</w:t>
            </w:r>
            <w:r>
              <w:rPr>
                <w:rFonts w:cstheme="minorHAnsi"/>
                <w:smallCaps/>
                <w:color w:val="0D0D0D" w:themeColor="text1" w:themeTint="F2"/>
              </w:rPr>
              <w:t/>
            </w:r>
          </w:p>
        </w:tc>
        <w:tc>
          <w:tcPr>
            <w:tcW w:w="1980" w:type="dxa"/>
            <w:vAlign w:val="center"/>
          </w:tcPr>
          <w:p w14:paraId="74B435C4" w14:textId="3220B5C0"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Mutation</w:t>
            </w:r>
          </w:p>
        </w:tc>
        <w:tc>
          <w:tcPr>
            <w:tcW w:w="2790" w:type="dxa"/>
            <w:vAlign w:val="center"/>
          </w:tcPr>
          <w:p w14:paraId="3BCDD440" w14:textId="2F208116"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NCT04302025</w:t>
            </w:r>
            <w:proofErr w:type="spellStart"/>
            <w:r>
              <w:rPr>
                <w:color w:val="404040" w:themeColor="text1" w:themeTint="BF"/>
                <w:sz w:val="20"/>
                <w:szCs w:val="20"/>
              </w:rPr>
              <w:t/>
            </w:r>
            <w:proofErr w:type="spellEnd"/>
            <w:r>
              <w:rPr>
                <w:color w:val="404040" w:themeColor="text1" w:themeTint="BF"/>
                <w:sz w:val="20"/>
                <w:szCs w:val="20"/>
              </w:rPr>
              <w:t/>
            </w:r>
          </w:p>
        </w:tc>
        <w:tc>
          <w:tcPr>
            <w:tcW w:w="2592" w:type="dxa"/>
            <w:vAlign w:val="center"/>
          </w:tcPr>
          <w:p w14:paraId="616ACA7E" w14:textId="12564D8E"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Atezolizumab, Vemurafenib, Cobimetinib</w:t>
            </w:r>
          </w:p>
        </w:tc>
        <w:tc>
          <w:tcPr>
            <w:tcW w:w="1278" w:type="dxa"/>
            <w:vAlign w:val="center"/>
          </w:tcPr>
          <w:p w14:paraId="65DD9AFB" w14:textId="152D2E7B" w:rsidR="008E521A" w:rsidRPr="00DB7AB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rPr>
              <w:t xml:space="preserve">II</w:t>
            </w:r>
          </w:p>
        </w:tc>
      </w:tr>
      <w:tr w:rsidR="008E521A" w14:paraId="018F70E5" w14:textId="77777777" w:rsidTr="00BF5412">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420C80C1" w14:textId="7C51FCBA" w:rsidR="008E521A" w:rsidRPr="005D7FE8" w:rsidRDefault="008E521A" w:rsidP="008E521A">
            <w:pPr>
              <w:spacing w:line="276" w:lineRule="auto"/>
              <w:rPr>
                <w:b w:val="0"/>
                <w:i/>
                <w:color w:val="404040" w:themeColor="text1" w:themeTint="BF"/>
                <w:sz w:val="20"/>
                <w:szCs w:val="20"/>
              </w:rPr>
            </w:pPr>
            <w:r>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ERBB2 Amplification</w:t>
            </w:r>
            <w:r>
              <w:rPr>
                <w:rFonts w:cstheme="minorHAnsi"/>
                <w:smallCaps/>
                <w:color w:val="0D0D0D" w:themeColor="text1" w:themeTint="F2"/>
              </w:rPr>
              <w:t/>
            </w:r>
          </w:p>
        </w:tc>
        <w:tc>
          <w:tcPr>
            <w:tcW w:w="1980" w:type="dxa"/>
            <w:vAlign w:val="center"/>
          </w:tcPr>
          <w:p w14:paraId="74B435C4" w14:textId="3220B5C0"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CNV</w:t>
            </w:r>
          </w:p>
        </w:tc>
        <w:tc>
          <w:tcPr>
            <w:tcW w:w="2790" w:type="dxa"/>
            <w:vAlign w:val="center"/>
          </w:tcPr>
          <w:p w14:paraId="3BCDD440" w14:textId="2F208116"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NCT04579380</w:t>
            </w:r>
            <w:proofErr w:type="spellStart"/>
            <w:r>
              <w:rPr>
                <w:color w:val="404040" w:themeColor="text1" w:themeTint="BF"/>
                <w:sz w:val="20"/>
                <w:szCs w:val="20"/>
              </w:rPr>
              <w:t/>
            </w:r>
            <w:proofErr w:type="spellEnd"/>
            <w:r>
              <w:rPr>
                <w:color w:val="404040" w:themeColor="text1" w:themeTint="BF"/>
                <w:sz w:val="20"/>
                <w:szCs w:val="20"/>
              </w:rPr>
              <w:t/>
            </w:r>
          </w:p>
        </w:tc>
        <w:tc>
          <w:tcPr>
            <w:tcW w:w="2592" w:type="dxa"/>
            <w:vAlign w:val="center"/>
          </w:tcPr>
          <w:p w14:paraId="616ACA7E" w14:textId="12564D8E"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trastuzumab</w:t>
            </w:r>
          </w:p>
        </w:tc>
        <w:tc>
          <w:tcPr>
            <w:tcW w:w="1278" w:type="dxa"/>
            <w:vAlign w:val="center"/>
          </w:tcPr>
          <w:p w14:paraId="65DD9AFB" w14:textId="152D2E7B" w:rsidR="008E521A" w:rsidRPr="00DB7AB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rPr>
              <w:t xml:space="preserve">II</w:t>
            </w:r>
          </w:p>
        </w:tc>
      </w:tr>
    </w:tbl>
    <w:p w14:paraId="425D4146" w14:textId="77777777" w:rsidR="00EA51A1" w:rsidRDefault="00EA51A1">
      <w:pPr>
        <w:rPr>
          <w:rFonts w:cs="Calibri Light (Headings)"/>
          <w:b/>
          <w:smallCaps/>
          <w:color w:val="0D0D0D" w:themeColor="text1" w:themeTint="F2"/>
          <w:spacing w:val="10"/>
          <w:sz w:val="28"/>
        </w:rPr>
      </w:pPr>
    </w:p>
    <w:p w14:paraId="08100548" w14:textId="595652AB" w:rsidR="004341D7" w:rsidRDefault="00396E39">
      <w:pPr>
        <w:rPr>
          <w:rFonts w:cs="Calibri Light (Headings)"/>
          <w:b/>
          <w:smallCaps/>
          <w:color w:val="0D0D0D" w:themeColor="text1" w:themeTint="F2"/>
          <w:spacing w:val="10"/>
          <w:sz w:val="28"/>
        </w:rPr>
      </w:pPr>
      <w:r>
        <w:rPr>
          <w:rFonts w:cs="Calibri Light (Headings)"/>
          <w:b/>
          <w:smallCaps/>
          <w:color w:val="0D0D0D" w:themeColor="text1" w:themeTint="F2"/>
          <w:spacing w:val="10"/>
          <w:sz w:val="28"/>
        </w:rPr>
        <w:t/>
      </w:r>
      <w:r w:rsidR="004341D7">
        <w:rPr>
          <w:rFonts w:cs="Calibri Light (Headings)"/>
          <w:b/>
          <w:smallCaps/>
          <w:color w:val="0D0D0D" w:themeColor="text1" w:themeTint="F2"/>
          <w:spacing w:val="10"/>
          <w:sz w:val="28"/>
        </w:rPr>
        <w:br w:type="page"/>
      </w:r>
    </w:p>
    <w:p w14:paraId="142F2B03" w14:textId="77777777" w:rsidR="00EF0A3D" w:rsidRDefault="00EF0A3D" w:rsidP="00EF0A3D">
      <w:pPr>
        <w:spacing w:after="0" w:line="240" w:lineRule="auto"/>
        <w:rPr>
          <w:rFonts w:cs="Calibri Light (Headings)"/>
          <w:b/>
          <w:smallCaps/>
          <w:color w:val="0D0D0D" w:themeColor="text1" w:themeTint="F2"/>
          <w:spacing w:val="10"/>
          <w:sz w:val="28"/>
        </w:rPr>
      </w:pPr>
      <w:r>
        <w:rPr>
          <w:rFonts w:cs="Calibri Light (Headings)"/>
          <w:b/>
          <w:smallCaps/>
          <w:color w:val="0D0D0D" w:themeColor="text1" w:themeTint="F2"/>
          <w:spacing w:val="10"/>
          <w:sz w:val="28"/>
        </w:rPr>
        <w:lastRenderedPageBreak/>
        <w:t>Methods and Limitations</w:t>
      </w:r>
    </w:p>
    <w:p w14:paraId="7091D958" w14:textId="77777777" w:rsidR="00EF0A3D" w:rsidRPr="00B70918" w:rsidRDefault="00EF0A3D" w:rsidP="00EF0A3D">
      <w:pPr>
        <w:spacing w:before="200"/>
        <w:rPr>
          <w:b/>
          <w:bCs/>
          <w:color w:val="0D0D0D" w:themeColor="text1" w:themeTint="F2"/>
          <w:szCs w:val="20"/>
        </w:rPr>
      </w:pPr>
      <w:r w:rsidRPr="00B70918">
        <w:rPr>
          <w:b/>
          <w:bCs/>
          <w:color w:val="0D0D0D" w:themeColor="text1" w:themeTint="F2"/>
          <w:szCs w:val="20"/>
        </w:rPr>
        <w:t>METHODOLOGY</w:t>
      </w:r>
    </w:p>
    <w:p w14:paraId="264BFB35" w14:textId="77777777"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The individual’s DNA was extracted and fragmented, with fragments from the coding regions of the select gene panel targeted for amplification and sequencing. Reads from the sequence output were aligned to the human reference genome (GRCh37) using the Burrows-Wheeler Aligner (BWA). Variants to the reference were called using the Genomic Analysis Tool Kit (GATK). The variants were annotated and filtered using the Golden Helix </w:t>
      </w:r>
      <w:proofErr w:type="spellStart"/>
      <w:r w:rsidRPr="00B70918">
        <w:rPr>
          <w:color w:val="595959" w:themeColor="text1" w:themeTint="A6"/>
          <w:szCs w:val="20"/>
        </w:rPr>
        <w:t>VarSeq</w:t>
      </w:r>
      <w:proofErr w:type="spellEnd"/>
      <w:r w:rsidRPr="00B70918">
        <w:rPr>
          <w:color w:val="595959" w:themeColor="text1" w:themeTint="A6"/>
          <w:szCs w:val="20"/>
        </w:rPr>
        <w:t xml:space="preserve"> analysis workflow implementing the ACMG guidelines for interpretation of sequence variants. This includes comparison against the </w:t>
      </w:r>
      <w:proofErr w:type="spellStart"/>
      <w:r w:rsidRPr="00B70918">
        <w:rPr>
          <w:color w:val="595959" w:themeColor="text1" w:themeTint="A6"/>
          <w:szCs w:val="20"/>
        </w:rPr>
        <w:t>gnomAD</w:t>
      </w:r>
      <w:proofErr w:type="spellEnd"/>
      <w:r w:rsidRPr="00B70918">
        <w:rPr>
          <w:color w:val="595959" w:themeColor="text1" w:themeTint="A6"/>
          <w:szCs w:val="20"/>
        </w:rPr>
        <w:t xml:space="preserve"> population catalog of variants in 123,136 exomes, the 1000 Genomes Project Consortium’s publication of 2,500 genomes, the NCBI </w:t>
      </w:r>
      <w:proofErr w:type="spellStart"/>
      <w:r w:rsidRPr="00B70918">
        <w:rPr>
          <w:color w:val="595959" w:themeColor="text1" w:themeTint="A6"/>
          <w:szCs w:val="20"/>
        </w:rPr>
        <w:t>ClinVar</w:t>
      </w:r>
      <w:proofErr w:type="spellEnd"/>
      <w:r w:rsidRPr="00B70918">
        <w:rPr>
          <w:color w:val="595959" w:themeColor="text1" w:themeTint="A6"/>
          <w:szCs w:val="20"/>
        </w:rPr>
        <w:t xml:space="preserve"> database of clinical assertions on variant’s pathogenicity and multiple lines of computational evidence on conservation and functional impact. This test has not been cleared or approved by the U.S. Food and Drug Administration (FDA). The FDA has determined that such clearance or approval is not necessary.</w:t>
      </w:r>
    </w:p>
    <w:p w14:paraId="4BF0EC02" w14:textId="77777777" w:rsidR="00EF0A3D" w:rsidRPr="00B70918" w:rsidRDefault="00EF0A3D" w:rsidP="00EF0A3D">
      <w:pPr>
        <w:spacing w:before="200"/>
        <w:rPr>
          <w:b/>
          <w:bCs/>
          <w:color w:val="0D0D0D" w:themeColor="text1" w:themeTint="F2"/>
          <w:szCs w:val="20"/>
        </w:rPr>
      </w:pPr>
      <w:r w:rsidRPr="00B70918">
        <w:rPr>
          <w:b/>
          <w:bCs/>
          <w:color w:val="0D0D0D" w:themeColor="text1" w:themeTint="F2"/>
          <w:szCs w:val="20"/>
        </w:rPr>
        <w:t>VARIANT ASSESSMENT PROCESS</w:t>
      </w:r>
    </w:p>
    <w:p w14:paraId="749AD4B3" w14:textId="4D11FE75"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The following databases and algorithms are used to annotate and evaluate the impact of the variant in the context of human disease: 1000 genomes, </w:t>
      </w:r>
      <w:proofErr w:type="spellStart"/>
      <w:r w:rsidRPr="00B70918">
        <w:rPr>
          <w:color w:val="595959" w:themeColor="text1" w:themeTint="A6"/>
          <w:szCs w:val="20"/>
        </w:rPr>
        <w:t>gnomAD</w:t>
      </w:r>
      <w:proofErr w:type="spellEnd"/>
      <w:r w:rsidRPr="00B70918">
        <w:rPr>
          <w:color w:val="595959" w:themeColor="text1" w:themeTint="A6"/>
          <w:szCs w:val="20"/>
        </w:rPr>
        <w:t xml:space="preserve">, </w:t>
      </w:r>
      <w:proofErr w:type="spellStart"/>
      <w:r w:rsidRPr="00B70918">
        <w:rPr>
          <w:color w:val="595959" w:themeColor="text1" w:themeTint="A6"/>
          <w:szCs w:val="20"/>
        </w:rPr>
        <w:t>ClinVar</w:t>
      </w:r>
      <w:proofErr w:type="spellEnd"/>
      <w:r w:rsidRPr="00B70918">
        <w:rPr>
          <w:color w:val="595959" w:themeColor="text1" w:themeTint="A6"/>
          <w:szCs w:val="20"/>
        </w:rPr>
        <w:t xml:space="preserve">, OMIM, </w:t>
      </w:r>
      <w:proofErr w:type="spellStart"/>
      <w:r w:rsidRPr="00B70918">
        <w:rPr>
          <w:color w:val="595959" w:themeColor="text1" w:themeTint="A6"/>
          <w:szCs w:val="20"/>
        </w:rPr>
        <w:t>dbSNP</w:t>
      </w:r>
      <w:proofErr w:type="spellEnd"/>
      <w:r w:rsidRPr="00B70918">
        <w:rPr>
          <w:color w:val="595959" w:themeColor="text1" w:themeTint="A6"/>
          <w:szCs w:val="20"/>
        </w:rPr>
        <w:t xml:space="preserve">, NCIB </w:t>
      </w:r>
      <w:proofErr w:type="spellStart"/>
      <w:r w:rsidRPr="00B70918">
        <w:rPr>
          <w:color w:val="595959" w:themeColor="text1" w:themeTint="A6"/>
          <w:szCs w:val="20"/>
        </w:rPr>
        <w:t>RefSeq</w:t>
      </w:r>
      <w:proofErr w:type="spellEnd"/>
      <w:r w:rsidRPr="00B70918">
        <w:rPr>
          <w:color w:val="595959" w:themeColor="text1" w:themeTint="A6"/>
          <w:szCs w:val="20"/>
        </w:rPr>
        <w:t xml:space="preserve"> Genes, </w:t>
      </w:r>
      <w:proofErr w:type="spellStart"/>
      <w:r w:rsidRPr="00B70918">
        <w:rPr>
          <w:color w:val="595959" w:themeColor="text1" w:themeTint="A6"/>
          <w:szCs w:val="20"/>
        </w:rPr>
        <w:t>ExAC</w:t>
      </w:r>
      <w:proofErr w:type="spellEnd"/>
      <w:r w:rsidRPr="00B70918">
        <w:rPr>
          <w:color w:val="595959" w:themeColor="text1" w:themeTint="A6"/>
          <w:szCs w:val="20"/>
        </w:rPr>
        <w:t xml:space="preserve"> Gene Constraints, VS-SIFT, VS-PolyPhen2, </w:t>
      </w:r>
      <w:proofErr w:type="spellStart"/>
      <w:r w:rsidRPr="00B70918">
        <w:rPr>
          <w:color w:val="595959" w:themeColor="text1" w:themeTint="A6"/>
          <w:szCs w:val="20"/>
        </w:rPr>
        <w:t>PhyloP</w:t>
      </w:r>
      <w:proofErr w:type="spellEnd"/>
      <w:r w:rsidRPr="00B70918">
        <w:rPr>
          <w:color w:val="595959" w:themeColor="text1" w:themeTint="A6"/>
          <w:szCs w:val="20"/>
        </w:rPr>
        <w:t xml:space="preserve">, GERP++, </w:t>
      </w:r>
      <w:proofErr w:type="spellStart"/>
      <w:r w:rsidRPr="00B70918">
        <w:rPr>
          <w:color w:val="595959" w:themeColor="text1" w:themeTint="A6"/>
          <w:szCs w:val="20"/>
        </w:rPr>
        <w:t>GeneSplicer</w:t>
      </w:r>
      <w:proofErr w:type="spellEnd"/>
      <w:r w:rsidRPr="00B70918">
        <w:rPr>
          <w:color w:val="595959" w:themeColor="text1" w:themeTint="A6"/>
          <w:szCs w:val="20"/>
        </w:rPr>
        <w:t xml:space="preserve">, </w:t>
      </w:r>
      <w:proofErr w:type="spellStart"/>
      <w:r w:rsidRPr="00B70918">
        <w:rPr>
          <w:color w:val="595959" w:themeColor="text1" w:themeTint="A6"/>
          <w:szCs w:val="20"/>
        </w:rPr>
        <w:t>MaxEntScan</w:t>
      </w:r>
      <w:proofErr w:type="spellEnd"/>
      <w:r w:rsidRPr="00B70918">
        <w:rPr>
          <w:color w:val="595959" w:themeColor="text1" w:themeTint="A6"/>
          <w:szCs w:val="20"/>
        </w:rPr>
        <w:t xml:space="preserve">, </w:t>
      </w:r>
      <w:proofErr w:type="spellStart"/>
      <w:r w:rsidRPr="00B70918">
        <w:rPr>
          <w:color w:val="595959" w:themeColor="text1" w:themeTint="A6"/>
          <w:szCs w:val="20"/>
        </w:rPr>
        <w:t>NNSplice</w:t>
      </w:r>
      <w:proofErr w:type="spellEnd"/>
      <w:r w:rsidRPr="00B70918">
        <w:rPr>
          <w:color w:val="595959" w:themeColor="text1" w:themeTint="A6"/>
          <w:szCs w:val="20"/>
        </w:rPr>
        <w:t xml:space="preserve">, PWM Splice Predictor. Analysis was reported </w:t>
      </w:r>
      <w:r w:rsidR="00C32B91">
        <w:rPr>
          <w:color w:val="595959" w:themeColor="text1" w:themeTint="A6"/>
          <w:szCs w:val="20"/>
        </w:rPr>
        <w:t>using</w:t>
      </w:r>
      <w:r w:rsidRPr="00B70918">
        <w:rPr>
          <w:color w:val="595959" w:themeColor="text1" w:themeTint="A6"/>
          <w:szCs w:val="20"/>
        </w:rPr>
        <w:t xml:space="preserve"> HGVS nomenclature (</w:t>
      </w:r>
      <w:hyperlink r:id="rId8" w:history="1">
        <w:r w:rsidRPr="00B70918">
          <w:rPr>
            <w:rStyle w:val="Hyperlink"/>
          </w:rPr>
          <w:t>www.hgvs.org/mutnomen</w:t>
        </w:r>
      </w:hyperlink>
      <w:r w:rsidRPr="00B70918">
        <w:rPr>
          <w:color w:val="595959" w:themeColor="text1" w:themeTint="A6"/>
          <w:szCs w:val="20"/>
        </w:rPr>
        <w:t xml:space="preserve">) as implemented by the </w:t>
      </w:r>
      <w:proofErr w:type="spellStart"/>
      <w:r w:rsidRPr="00B70918">
        <w:rPr>
          <w:color w:val="595959" w:themeColor="text1" w:themeTint="A6"/>
          <w:szCs w:val="20"/>
        </w:rPr>
        <w:t>VarSeq</w:t>
      </w:r>
      <w:proofErr w:type="spellEnd"/>
      <w:r w:rsidRPr="00B70918">
        <w:rPr>
          <w:color w:val="595959" w:themeColor="text1" w:themeTint="A6"/>
          <w:szCs w:val="20"/>
        </w:rPr>
        <w:t xml:space="preserve"> transcript annotation algorithm. The reported transcript matches that used most frequently by the clinical labs submitting to </w:t>
      </w:r>
      <w:proofErr w:type="spellStart"/>
      <w:r w:rsidRPr="00B70918">
        <w:rPr>
          <w:color w:val="595959" w:themeColor="text1" w:themeTint="A6"/>
          <w:szCs w:val="20"/>
        </w:rPr>
        <w:t>ClinVar</w:t>
      </w:r>
      <w:proofErr w:type="spellEnd"/>
      <w:r w:rsidRPr="00B70918">
        <w:rPr>
          <w:color w:val="595959" w:themeColor="text1" w:themeTint="A6"/>
          <w:szCs w:val="20"/>
        </w:rPr>
        <w:t>.</w:t>
      </w:r>
    </w:p>
    <w:p w14:paraId="72DEDE45" w14:textId="77777777" w:rsidR="00EF0A3D" w:rsidRPr="00B70918" w:rsidRDefault="00EF0A3D" w:rsidP="00EF0A3D">
      <w:pPr>
        <w:spacing w:before="200"/>
        <w:rPr>
          <w:b/>
          <w:bCs/>
          <w:color w:val="0D0D0D" w:themeColor="text1" w:themeTint="F2"/>
          <w:szCs w:val="20"/>
        </w:rPr>
      </w:pPr>
      <w:r w:rsidRPr="00B70918">
        <w:rPr>
          <w:b/>
          <w:bCs/>
          <w:color w:val="0D0D0D" w:themeColor="text1" w:themeTint="F2"/>
          <w:szCs w:val="20"/>
        </w:rPr>
        <w:t>LIMITATIONS</w:t>
      </w:r>
    </w:p>
    <w:p w14:paraId="6B01F805" w14:textId="575D014E"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It should be noted that this test is </w:t>
      </w:r>
      <w:r w:rsidR="00C32B91">
        <w:rPr>
          <w:color w:val="595959" w:themeColor="text1" w:themeTint="A6"/>
          <w:szCs w:val="20"/>
        </w:rPr>
        <w:t>restricted</w:t>
      </w:r>
      <w:r w:rsidRPr="00B70918">
        <w:rPr>
          <w:color w:val="595959" w:themeColor="text1" w:themeTint="A6"/>
          <w:szCs w:val="20"/>
        </w:rPr>
        <w:t xml:space="preserve"> to a limited number of genes and does not include all intronic and non-coding regions. This report only includes variants that </w:t>
      </w:r>
      <w:r w:rsidR="00C32B91">
        <w:rPr>
          <w:color w:val="595959" w:themeColor="text1" w:themeTint="A6"/>
          <w:szCs w:val="20"/>
        </w:rPr>
        <w:t>meet</w:t>
      </w:r>
      <w:r w:rsidRPr="00B70918">
        <w:rPr>
          <w:color w:val="595959" w:themeColor="text1" w:themeTint="A6"/>
          <w:szCs w:val="20"/>
        </w:rPr>
        <w:t xml:space="preserve"> a level of evidence threshold for cause or contribute to disease. Certain classes of genomic variants are also not covered using the NGS testing technology, including triplet repeat expansions, copy number alterations, translocations</w:t>
      </w:r>
      <w:r w:rsidR="00C32B91">
        <w:rPr>
          <w:color w:val="595959" w:themeColor="text1" w:themeTint="A6"/>
          <w:szCs w:val="20"/>
        </w:rPr>
        <w:t>,</w:t>
      </w:r>
      <w:r w:rsidRPr="00B70918">
        <w:rPr>
          <w:color w:val="595959" w:themeColor="text1" w:themeTint="A6"/>
          <w:szCs w:val="20"/>
        </w:rPr>
        <w:t xml:space="preserve"> gene fusions</w:t>
      </w:r>
      <w:r w:rsidR="00C32B91">
        <w:rPr>
          <w:color w:val="595959" w:themeColor="text1" w:themeTint="A6"/>
          <w:szCs w:val="20"/>
        </w:rPr>
        <w:t>,</w:t>
      </w:r>
      <w:r w:rsidRPr="00B70918">
        <w:rPr>
          <w:color w:val="595959" w:themeColor="text1" w:themeTint="A6"/>
          <w:szCs w:val="20"/>
        </w:rPr>
        <w:t xml:space="preserve"> or other complex structural rearrangements. More evidence for disease association of genes and causal pathogenic variants are discovered every year, and it is recommended that genetic variants are re-interpreted with updated software and annotations periodically.</w:t>
      </w:r>
    </w:p>
    <w:p w14:paraId="4594DADE" w14:textId="77777777" w:rsidR="00EF0A3D" w:rsidRPr="00B70918" w:rsidRDefault="00EF0A3D" w:rsidP="00EF0A3D">
      <w:pPr>
        <w:spacing w:before="200"/>
        <w:rPr>
          <w:b/>
          <w:bCs/>
          <w:color w:val="0D0D0D" w:themeColor="text1" w:themeTint="F2"/>
          <w:szCs w:val="20"/>
        </w:rPr>
      </w:pPr>
      <w:r>
        <w:rPr>
          <w:b/>
          <w:bCs/>
          <w:color w:val="0D0D0D" w:themeColor="text1" w:themeTint="F2"/>
          <w:szCs w:val="20"/>
        </w:rPr>
        <w:t xml:space="preserve">GENERAL </w:t>
      </w:r>
      <w:r w:rsidRPr="00B70918">
        <w:rPr>
          <w:b/>
          <w:bCs/>
          <w:color w:val="0D0D0D" w:themeColor="text1" w:themeTint="F2"/>
          <w:szCs w:val="20"/>
        </w:rPr>
        <w:t>REFERENCES</w:t>
      </w:r>
    </w:p>
    <w:p w14:paraId="7A9D44A5" w14:textId="186AAE24" w:rsidR="00EF0A3D" w:rsidRPr="00020186" w:rsidRDefault="00EF0A3D" w:rsidP="00EF0A3D">
      <w:pPr>
        <w:spacing w:before="200"/>
        <w:rPr>
          <w:color w:val="595959" w:themeColor="text1" w:themeTint="A6"/>
          <w:szCs w:val="20"/>
        </w:rPr>
      </w:pPr>
      <w:r w:rsidRPr="00020186">
        <w:rPr>
          <w:color w:val="595959" w:themeColor="text1" w:themeTint="A6"/>
          <w:szCs w:val="20"/>
        </w:rPr>
        <w:t xml:space="preserve">Li, Marilyn M., </w:t>
      </w:r>
      <w:r w:rsidRPr="00CB3B05">
        <w:rPr>
          <w:i/>
          <w:iCs/>
          <w:color w:val="595959" w:themeColor="text1" w:themeTint="A6"/>
          <w:szCs w:val="20"/>
        </w:rPr>
        <w:t>et al.</w:t>
      </w:r>
      <w:r w:rsidRPr="00020186">
        <w:rPr>
          <w:color w:val="595959" w:themeColor="text1" w:themeTint="A6"/>
          <w:szCs w:val="20"/>
        </w:rPr>
        <w:t xml:space="preserve"> "Standards and guidelines for the interpretation and reporting of sequence variants in cancer: a joint consensus recommendation of the Association for Molecular Pathology, American Society of Clinical Oncology, and College of American Pathologists." </w:t>
      </w:r>
      <w:r w:rsidRPr="0056552A">
        <w:rPr>
          <w:i/>
          <w:iCs/>
          <w:color w:val="595959" w:themeColor="text1" w:themeTint="A6"/>
          <w:szCs w:val="20"/>
        </w:rPr>
        <w:t xml:space="preserve">The Journal of </w:t>
      </w:r>
      <w:r w:rsidR="0056552A">
        <w:rPr>
          <w:i/>
          <w:iCs/>
          <w:color w:val="595959" w:themeColor="text1" w:themeTint="A6"/>
          <w:szCs w:val="20"/>
        </w:rPr>
        <w:t>M</w:t>
      </w:r>
      <w:r w:rsidRPr="0056552A">
        <w:rPr>
          <w:i/>
          <w:iCs/>
          <w:color w:val="595959" w:themeColor="text1" w:themeTint="A6"/>
          <w:szCs w:val="20"/>
        </w:rPr>
        <w:t xml:space="preserve">olecular </w:t>
      </w:r>
      <w:r w:rsidR="0056552A">
        <w:rPr>
          <w:i/>
          <w:iCs/>
          <w:color w:val="595959" w:themeColor="text1" w:themeTint="A6"/>
          <w:szCs w:val="20"/>
        </w:rPr>
        <w:t>D</w:t>
      </w:r>
      <w:r w:rsidRPr="0056552A">
        <w:rPr>
          <w:i/>
          <w:iCs/>
          <w:color w:val="595959" w:themeColor="text1" w:themeTint="A6"/>
          <w:szCs w:val="20"/>
        </w:rPr>
        <w:t>iagnostics</w:t>
      </w:r>
      <w:r w:rsidRPr="00020186">
        <w:rPr>
          <w:color w:val="595959" w:themeColor="text1" w:themeTint="A6"/>
          <w:szCs w:val="20"/>
        </w:rPr>
        <w:t xml:space="preserve"> </w:t>
      </w:r>
      <w:r w:rsidR="00CB1EA5">
        <w:rPr>
          <w:color w:val="595959" w:themeColor="text1" w:themeTint="A6"/>
          <w:szCs w:val="20"/>
        </w:rPr>
        <w:t xml:space="preserve">(2017) </w:t>
      </w:r>
      <w:r w:rsidRPr="00020186">
        <w:rPr>
          <w:color w:val="595959" w:themeColor="text1" w:themeTint="A6"/>
          <w:szCs w:val="20"/>
        </w:rPr>
        <w:t>19</w:t>
      </w:r>
      <w:r w:rsidR="0056552A">
        <w:rPr>
          <w:color w:val="595959" w:themeColor="text1" w:themeTint="A6"/>
          <w:szCs w:val="20"/>
        </w:rPr>
        <w:t>(1)</w:t>
      </w:r>
      <w:r w:rsidRPr="00020186">
        <w:rPr>
          <w:color w:val="595959" w:themeColor="text1" w:themeTint="A6"/>
          <w:szCs w:val="20"/>
        </w:rPr>
        <w:t xml:space="preserve">: 4-23. </w:t>
      </w:r>
      <w:r w:rsidR="00CB3B05">
        <w:rPr>
          <w:color w:val="595959" w:themeColor="text1" w:themeTint="A6"/>
          <w:szCs w:val="20"/>
        </w:rPr>
        <w:t xml:space="preserve">PMID: </w:t>
      </w:r>
      <w:r w:rsidR="008525FA" w:rsidRPr="008525FA">
        <w:rPr>
          <w:color w:val="595959" w:themeColor="text1" w:themeTint="A6"/>
          <w:szCs w:val="20"/>
        </w:rPr>
        <w:t>27993330</w:t>
      </w:r>
      <w:r w:rsidR="00CB3B05">
        <w:rPr>
          <w:color w:val="595959" w:themeColor="text1" w:themeTint="A6"/>
          <w:szCs w:val="20"/>
        </w:rPr>
        <w:t>.</w:t>
      </w:r>
    </w:p>
    <w:p w14:paraId="7E5F7183" w14:textId="2940E307"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Richards, Sue, </w:t>
      </w:r>
      <w:r w:rsidRPr="00CB3B05">
        <w:rPr>
          <w:i/>
          <w:iCs/>
          <w:color w:val="595959" w:themeColor="text1" w:themeTint="A6"/>
          <w:szCs w:val="20"/>
        </w:rPr>
        <w:t>et al.</w:t>
      </w:r>
      <w:r w:rsidRPr="00B70918">
        <w:rPr>
          <w:color w:val="595959" w:themeColor="text1" w:themeTint="A6"/>
          <w:szCs w:val="20"/>
        </w:rPr>
        <w:t xml:space="preserve"> "Standards and guidelines for the interpretation of sequence variants: a joint consensus recommendation of the American College of Medical Genetics and Genomics and the Association for Molecular Pathology." </w:t>
      </w:r>
      <w:r w:rsidRPr="0056552A">
        <w:rPr>
          <w:i/>
          <w:iCs/>
          <w:color w:val="595959" w:themeColor="text1" w:themeTint="A6"/>
          <w:szCs w:val="20"/>
        </w:rPr>
        <w:t xml:space="preserve">Genetics in </w:t>
      </w:r>
      <w:r w:rsidR="0056552A">
        <w:rPr>
          <w:i/>
          <w:iCs/>
          <w:color w:val="595959" w:themeColor="text1" w:themeTint="A6"/>
          <w:szCs w:val="20"/>
        </w:rPr>
        <w:t>M</w:t>
      </w:r>
      <w:r w:rsidRPr="0056552A">
        <w:rPr>
          <w:i/>
          <w:iCs/>
          <w:color w:val="595959" w:themeColor="text1" w:themeTint="A6"/>
          <w:szCs w:val="20"/>
        </w:rPr>
        <w:t>edicine</w:t>
      </w:r>
      <w:r w:rsidRPr="00B70918">
        <w:rPr>
          <w:color w:val="595959" w:themeColor="text1" w:themeTint="A6"/>
          <w:szCs w:val="20"/>
        </w:rPr>
        <w:t xml:space="preserve"> </w:t>
      </w:r>
      <w:r w:rsidR="00CB1EA5">
        <w:rPr>
          <w:color w:val="595959" w:themeColor="text1" w:themeTint="A6"/>
          <w:szCs w:val="20"/>
        </w:rPr>
        <w:t xml:space="preserve">(2015) </w:t>
      </w:r>
      <w:r w:rsidRPr="00B70918">
        <w:rPr>
          <w:color w:val="595959" w:themeColor="text1" w:themeTint="A6"/>
          <w:szCs w:val="20"/>
        </w:rPr>
        <w:t>17</w:t>
      </w:r>
      <w:r w:rsidR="0056552A">
        <w:rPr>
          <w:color w:val="595959" w:themeColor="text1" w:themeTint="A6"/>
          <w:szCs w:val="20"/>
        </w:rPr>
        <w:t>(</w:t>
      </w:r>
      <w:r w:rsidRPr="00B70918">
        <w:rPr>
          <w:color w:val="595959" w:themeColor="text1" w:themeTint="A6"/>
          <w:szCs w:val="20"/>
        </w:rPr>
        <w:t>5</w:t>
      </w:r>
      <w:r w:rsidR="0056552A">
        <w:rPr>
          <w:color w:val="595959" w:themeColor="text1" w:themeTint="A6"/>
          <w:szCs w:val="20"/>
        </w:rPr>
        <w:t>)</w:t>
      </w:r>
      <w:r w:rsidRPr="00B70918">
        <w:rPr>
          <w:color w:val="595959" w:themeColor="text1" w:themeTint="A6"/>
          <w:szCs w:val="20"/>
        </w:rPr>
        <w:t>: 405.</w:t>
      </w:r>
      <w:r w:rsidR="008525FA">
        <w:rPr>
          <w:color w:val="595959" w:themeColor="text1" w:themeTint="A6"/>
          <w:szCs w:val="20"/>
        </w:rPr>
        <w:t xml:space="preserve"> PMID: </w:t>
      </w:r>
      <w:r w:rsidR="00191012" w:rsidRPr="00191012">
        <w:rPr>
          <w:color w:val="595959" w:themeColor="text1" w:themeTint="A6"/>
          <w:szCs w:val="20"/>
        </w:rPr>
        <w:t>25741868</w:t>
      </w:r>
      <w:r w:rsidR="00191012">
        <w:rPr>
          <w:color w:val="595959" w:themeColor="text1" w:themeTint="A6"/>
          <w:szCs w:val="20"/>
        </w:rPr>
        <w:t>.</w:t>
      </w:r>
    </w:p>
    <w:p w14:paraId="2E92AD4C" w14:textId="70E9F6B7" w:rsidR="00EF0A3D" w:rsidRPr="00B70918" w:rsidRDefault="00EF0A3D" w:rsidP="00EF0A3D">
      <w:pPr>
        <w:spacing w:before="200"/>
        <w:rPr>
          <w:color w:val="595959" w:themeColor="text1" w:themeTint="A6"/>
          <w:szCs w:val="20"/>
        </w:rPr>
      </w:pPr>
      <w:r w:rsidRPr="00276CFD">
        <w:rPr>
          <w:color w:val="595959" w:themeColor="text1" w:themeTint="A6"/>
          <w:szCs w:val="20"/>
        </w:rPr>
        <w:t xml:space="preserve">Forbes, Simon A., </w:t>
      </w:r>
      <w:r w:rsidRPr="00CB3B05">
        <w:rPr>
          <w:i/>
          <w:iCs/>
          <w:color w:val="595959" w:themeColor="text1" w:themeTint="A6"/>
          <w:szCs w:val="20"/>
        </w:rPr>
        <w:t>et al.</w:t>
      </w:r>
      <w:r w:rsidRPr="00276CFD">
        <w:rPr>
          <w:color w:val="595959" w:themeColor="text1" w:themeTint="A6"/>
          <w:szCs w:val="20"/>
        </w:rPr>
        <w:t xml:space="preserve"> </w:t>
      </w:r>
      <w:r w:rsidRPr="00020186">
        <w:rPr>
          <w:color w:val="595959" w:themeColor="text1" w:themeTint="A6"/>
          <w:szCs w:val="20"/>
        </w:rPr>
        <w:t xml:space="preserve">"COSMIC: somatic cancer genetics at high-resolution." </w:t>
      </w:r>
      <w:r w:rsidRPr="0056552A">
        <w:rPr>
          <w:i/>
          <w:iCs/>
          <w:color w:val="595959" w:themeColor="text1" w:themeTint="A6"/>
          <w:szCs w:val="20"/>
        </w:rPr>
        <w:t xml:space="preserve">Nucleic </w:t>
      </w:r>
      <w:r w:rsidR="0056552A">
        <w:rPr>
          <w:i/>
          <w:iCs/>
          <w:color w:val="595959" w:themeColor="text1" w:themeTint="A6"/>
          <w:szCs w:val="20"/>
        </w:rPr>
        <w:t>A</w:t>
      </w:r>
      <w:r w:rsidRPr="0056552A">
        <w:rPr>
          <w:i/>
          <w:iCs/>
          <w:color w:val="595959" w:themeColor="text1" w:themeTint="A6"/>
          <w:szCs w:val="20"/>
        </w:rPr>
        <w:t xml:space="preserve">cids </w:t>
      </w:r>
      <w:r w:rsidR="0056552A">
        <w:rPr>
          <w:i/>
          <w:iCs/>
          <w:color w:val="595959" w:themeColor="text1" w:themeTint="A6"/>
          <w:szCs w:val="20"/>
        </w:rPr>
        <w:t>R</w:t>
      </w:r>
      <w:r w:rsidRPr="0056552A">
        <w:rPr>
          <w:i/>
          <w:iCs/>
          <w:color w:val="595959" w:themeColor="text1" w:themeTint="A6"/>
          <w:szCs w:val="20"/>
        </w:rPr>
        <w:t>esearch</w:t>
      </w:r>
      <w:r w:rsidRPr="00020186">
        <w:rPr>
          <w:color w:val="595959" w:themeColor="text1" w:themeTint="A6"/>
          <w:szCs w:val="20"/>
        </w:rPr>
        <w:t xml:space="preserve"> </w:t>
      </w:r>
      <w:r w:rsidR="00CB1EA5">
        <w:rPr>
          <w:color w:val="595959" w:themeColor="text1" w:themeTint="A6"/>
          <w:szCs w:val="20"/>
        </w:rPr>
        <w:t xml:space="preserve">(2016) </w:t>
      </w:r>
      <w:r w:rsidRPr="00020186">
        <w:rPr>
          <w:color w:val="595959" w:themeColor="text1" w:themeTint="A6"/>
          <w:szCs w:val="20"/>
        </w:rPr>
        <w:t>45</w:t>
      </w:r>
      <w:r w:rsidR="0056552A">
        <w:rPr>
          <w:color w:val="595959" w:themeColor="text1" w:themeTint="A6"/>
          <w:szCs w:val="20"/>
        </w:rPr>
        <w:t>(</w:t>
      </w:r>
      <w:r w:rsidRPr="00020186">
        <w:rPr>
          <w:color w:val="595959" w:themeColor="text1" w:themeTint="A6"/>
          <w:szCs w:val="20"/>
        </w:rPr>
        <w:t>D1</w:t>
      </w:r>
      <w:r w:rsidR="0056552A">
        <w:rPr>
          <w:color w:val="595959" w:themeColor="text1" w:themeTint="A6"/>
          <w:szCs w:val="20"/>
        </w:rPr>
        <w:t>)</w:t>
      </w:r>
      <w:r w:rsidRPr="00020186">
        <w:rPr>
          <w:color w:val="595959" w:themeColor="text1" w:themeTint="A6"/>
          <w:szCs w:val="20"/>
        </w:rPr>
        <w:t>: D777-D783.</w:t>
      </w:r>
      <w:r w:rsidR="00191012">
        <w:rPr>
          <w:color w:val="595959" w:themeColor="text1" w:themeTint="A6"/>
          <w:szCs w:val="20"/>
        </w:rPr>
        <w:t xml:space="preserve"> PMID: </w:t>
      </w:r>
      <w:r w:rsidR="00191012" w:rsidRPr="00191012">
        <w:rPr>
          <w:color w:val="595959" w:themeColor="text1" w:themeTint="A6"/>
          <w:szCs w:val="20"/>
        </w:rPr>
        <w:t>27899578</w:t>
      </w:r>
      <w:r w:rsidR="00191012">
        <w:rPr>
          <w:color w:val="595959" w:themeColor="text1" w:themeTint="A6"/>
          <w:szCs w:val="20"/>
        </w:rPr>
        <w:t>.</w:t>
      </w:r>
    </w:p>
    <w:p w14:paraId="4C0EF614" w14:textId="6025C619" w:rsidR="00EF0A3D" w:rsidRPr="00B70918" w:rsidRDefault="00EF0A3D" w:rsidP="00EF0A3D">
      <w:pPr>
        <w:spacing w:before="200"/>
        <w:rPr>
          <w:color w:val="595959" w:themeColor="text1" w:themeTint="A6"/>
          <w:szCs w:val="20"/>
        </w:rPr>
      </w:pPr>
      <w:r w:rsidRPr="008440EE">
        <w:rPr>
          <w:color w:val="595959" w:themeColor="text1" w:themeTint="A6"/>
          <w:szCs w:val="20"/>
        </w:rPr>
        <w:t xml:space="preserve">Exome Aggregation Consortium </w:t>
      </w:r>
      <w:r w:rsidRPr="008440EE">
        <w:rPr>
          <w:i/>
          <w:iCs/>
          <w:color w:val="595959" w:themeColor="text1" w:themeTint="A6"/>
          <w:szCs w:val="20"/>
        </w:rPr>
        <w:t>et al.</w:t>
      </w:r>
      <w:r w:rsidRPr="008440EE">
        <w:rPr>
          <w:color w:val="595959" w:themeColor="text1" w:themeTint="A6"/>
          <w:szCs w:val="20"/>
        </w:rPr>
        <w:t xml:space="preserve"> </w:t>
      </w:r>
      <w:r w:rsidRPr="00B70918">
        <w:rPr>
          <w:color w:val="595959" w:themeColor="text1" w:themeTint="A6"/>
          <w:szCs w:val="20"/>
        </w:rPr>
        <w:t xml:space="preserve">“Analysis of Protein-Coding Genetic Variation in 60,706 Humans.” </w:t>
      </w:r>
      <w:r w:rsidRPr="0056552A">
        <w:rPr>
          <w:i/>
          <w:iCs/>
          <w:color w:val="595959" w:themeColor="text1" w:themeTint="A6"/>
          <w:szCs w:val="20"/>
        </w:rPr>
        <w:t>Nature</w:t>
      </w:r>
      <w:r w:rsidRPr="00B70918">
        <w:rPr>
          <w:color w:val="595959" w:themeColor="text1" w:themeTint="A6"/>
          <w:szCs w:val="20"/>
        </w:rPr>
        <w:t xml:space="preserve"> </w:t>
      </w:r>
      <w:r w:rsidR="0056552A">
        <w:rPr>
          <w:color w:val="595959" w:themeColor="text1" w:themeTint="A6"/>
          <w:szCs w:val="20"/>
        </w:rPr>
        <w:t xml:space="preserve">(2016) </w:t>
      </w:r>
      <w:r w:rsidRPr="00B70918">
        <w:rPr>
          <w:color w:val="595959" w:themeColor="text1" w:themeTint="A6"/>
          <w:szCs w:val="20"/>
        </w:rPr>
        <w:t>536</w:t>
      </w:r>
      <w:r w:rsidR="0056552A">
        <w:rPr>
          <w:color w:val="595959" w:themeColor="text1" w:themeTint="A6"/>
          <w:szCs w:val="20"/>
        </w:rPr>
        <w:t>(</w:t>
      </w:r>
      <w:r w:rsidRPr="00B70918">
        <w:rPr>
          <w:color w:val="595959" w:themeColor="text1" w:themeTint="A6"/>
          <w:szCs w:val="20"/>
        </w:rPr>
        <w:t>7616</w:t>
      </w:r>
      <w:r w:rsidR="0056552A">
        <w:rPr>
          <w:color w:val="595959" w:themeColor="text1" w:themeTint="A6"/>
          <w:szCs w:val="20"/>
        </w:rPr>
        <w:t>)</w:t>
      </w:r>
      <w:r w:rsidRPr="00B70918">
        <w:rPr>
          <w:color w:val="595959" w:themeColor="text1" w:themeTint="A6"/>
          <w:szCs w:val="20"/>
        </w:rPr>
        <w:t>: 285–291.</w:t>
      </w:r>
      <w:r w:rsidR="003C0523">
        <w:rPr>
          <w:color w:val="595959" w:themeColor="text1" w:themeTint="A6"/>
          <w:szCs w:val="20"/>
        </w:rPr>
        <w:t xml:space="preserve"> PMID: </w:t>
      </w:r>
      <w:r w:rsidR="003C0523" w:rsidRPr="003C0523">
        <w:rPr>
          <w:color w:val="595959" w:themeColor="text1" w:themeTint="A6"/>
          <w:szCs w:val="20"/>
        </w:rPr>
        <w:t>27535533</w:t>
      </w:r>
      <w:r w:rsidR="003C0523">
        <w:rPr>
          <w:color w:val="595959" w:themeColor="text1" w:themeTint="A6"/>
          <w:szCs w:val="20"/>
        </w:rPr>
        <w:t>.</w:t>
      </w:r>
    </w:p>
    <w:p w14:paraId="75034351" w14:textId="56B02D96" w:rsidR="00EF0A3D" w:rsidRDefault="00EF0A3D" w:rsidP="00EF0A3D">
      <w:pPr>
        <w:spacing w:before="200"/>
        <w:rPr>
          <w:color w:val="595959" w:themeColor="text1" w:themeTint="A6"/>
          <w:szCs w:val="20"/>
        </w:rPr>
      </w:pPr>
      <w:r w:rsidRPr="00B70918">
        <w:rPr>
          <w:color w:val="595959" w:themeColor="text1" w:themeTint="A6"/>
          <w:szCs w:val="20"/>
        </w:rPr>
        <w:lastRenderedPageBreak/>
        <w:t xml:space="preserve">The 1000 Genomes Project Consortium. “A Global Reference for Human Genetic Variation.” </w:t>
      </w:r>
      <w:r w:rsidRPr="0056552A">
        <w:rPr>
          <w:i/>
          <w:iCs/>
          <w:color w:val="595959" w:themeColor="text1" w:themeTint="A6"/>
          <w:szCs w:val="20"/>
        </w:rPr>
        <w:t>Nature</w:t>
      </w:r>
      <w:r w:rsidRPr="00B70918">
        <w:rPr>
          <w:color w:val="595959" w:themeColor="text1" w:themeTint="A6"/>
          <w:szCs w:val="20"/>
        </w:rPr>
        <w:t xml:space="preserve"> </w:t>
      </w:r>
      <w:r w:rsidR="0056552A">
        <w:rPr>
          <w:color w:val="595959" w:themeColor="text1" w:themeTint="A6"/>
          <w:szCs w:val="20"/>
        </w:rPr>
        <w:t xml:space="preserve">(2015) </w:t>
      </w:r>
      <w:r w:rsidRPr="00B70918">
        <w:rPr>
          <w:color w:val="595959" w:themeColor="text1" w:themeTint="A6"/>
          <w:szCs w:val="20"/>
        </w:rPr>
        <w:t>526</w:t>
      </w:r>
      <w:r w:rsidR="0056552A">
        <w:rPr>
          <w:color w:val="595959" w:themeColor="text1" w:themeTint="A6"/>
          <w:szCs w:val="20"/>
        </w:rPr>
        <w:t>(</w:t>
      </w:r>
      <w:r w:rsidRPr="00B70918">
        <w:rPr>
          <w:color w:val="595959" w:themeColor="text1" w:themeTint="A6"/>
          <w:szCs w:val="20"/>
        </w:rPr>
        <w:t>7571</w:t>
      </w:r>
      <w:r w:rsidR="0056552A">
        <w:rPr>
          <w:color w:val="595959" w:themeColor="text1" w:themeTint="A6"/>
          <w:szCs w:val="20"/>
        </w:rPr>
        <w:t>)</w:t>
      </w:r>
      <w:r w:rsidRPr="00B70918">
        <w:rPr>
          <w:color w:val="595959" w:themeColor="text1" w:themeTint="A6"/>
          <w:szCs w:val="20"/>
        </w:rPr>
        <w:t>: 68–74.</w:t>
      </w:r>
      <w:r w:rsidR="009E286E">
        <w:rPr>
          <w:color w:val="595959" w:themeColor="text1" w:themeTint="A6"/>
          <w:szCs w:val="20"/>
        </w:rPr>
        <w:t xml:space="preserve"> PMID: </w:t>
      </w:r>
      <w:r w:rsidR="009E286E" w:rsidRPr="009E286E">
        <w:rPr>
          <w:color w:val="595959" w:themeColor="text1" w:themeTint="A6"/>
          <w:szCs w:val="20"/>
        </w:rPr>
        <w:t>26432245</w:t>
      </w:r>
      <w:r w:rsidR="009E286E">
        <w:rPr>
          <w:color w:val="595959" w:themeColor="text1" w:themeTint="A6"/>
          <w:szCs w:val="20"/>
        </w:rPr>
        <w:t>.</w:t>
      </w:r>
    </w:p>
    <w:p w14:paraId="193A6367" w14:textId="77777777" w:rsidR="00EF0A3D" w:rsidRPr="00F738DD" w:rsidRDefault="00EF0A3D" w:rsidP="00EF0A3D">
      <w:pPr>
        <w:spacing w:before="200"/>
        <w:rPr>
          <w:b/>
          <w:bCs/>
          <w:color w:val="0D0D0D" w:themeColor="text1" w:themeTint="F2"/>
          <w:szCs w:val="20"/>
        </w:rPr>
      </w:pPr>
      <w:r>
        <w:rPr>
          <w:b/>
          <w:bCs/>
          <w:color w:val="0D0D0D" w:themeColor="text1" w:themeTint="F2"/>
          <w:szCs w:val="20"/>
        </w:rPr>
        <w:t xml:space="preserve">INLINE REFERENCES BY PUBMED</w:t>
      </w:r>
    </w:p>
    <w:tbl>
      <w:tblPr>
        <w:tblStyle w:val="ListTable6Colorful-Accent3"/>
        <w:tblW w:w="10890" w:type="dxa"/>
        <w:tblLook w:val="04A0" w:firstRow="1" w:lastRow="0" w:firstColumn="1" w:lastColumn="0" w:noHBand="0" w:noVBand="1"/>
      </w:tblPr>
      <w:tblGrid>
        <w:gridCol w:w="3190"/>
        <w:gridCol w:w="7700"/>
      </w:tblGrid>
      <w:tr w:rsidR="00EF0A3D" w:rsidRPr="00D7205E" w14:paraId="12AFB3C8" w14:textId="77777777" w:rsidTr="00545CC8">
        <w:trPr>
          <w:cnfStyle w:val="100000000000" w:firstRow="1" w:lastRow="0" w:firstColumn="0" w:lastColumn="0" w:oddVBand="0" w:evenVBand="0" w:oddHBand="0" w:evenHBand="0" w:firstRowFirstColumn="0" w:firstRowLastColumn="0" w:lastRowFirstColumn="0" w:lastRowLastColumn="0"/>
          <w:cantSplit/>
          <w:trHeight w:val="239"/>
          <w:tblHeader/>
        </w:trPr>
        <w:tc>
          <w:tcPr>
            <w:cnfStyle w:val="001000000000" w:firstRow="0" w:lastRow="0" w:firstColumn="1" w:lastColumn="0" w:oddVBand="0" w:evenVBand="0" w:oddHBand="0" w:evenHBand="0" w:firstRowFirstColumn="0" w:firstRowLastColumn="0" w:lastRowFirstColumn="0" w:lastRowLastColumn="0"/>
            <w:tcW w:w="2340" w:type="dxa"/>
            <w:vAlign w:val="bottom"/>
          </w:tcPr>
          <w:p w14:paraId="70042C53" w14:textId="77777777" w:rsidR="00EF0A3D" w:rsidRPr="00D7205E" w:rsidRDefault="00EF0A3D" w:rsidP="00545CC8">
            <w:pPr>
              <w:rPr>
                <w:rFonts w:cstheme="minorHAnsi"/>
                <w:color w:val="0D0D0D" w:themeColor="text1" w:themeTint="F2"/>
                <w:sz w:val="20"/>
                <w:szCs w:val="20"/>
              </w:rPr>
            </w:pPr>
            <w:r>
              <w:rPr>
                <w:rFonts w:cstheme="minorHAnsi"/>
                <w:smallCaps/>
                <w:color w:val="0D0D0D" w:themeColor="text1" w:themeTint="F2"/>
              </w:rPr>
              <w:t xml:space="preserve">PMID</w:t>
            </w:r>
          </w:p>
        </w:tc>
        <w:tc>
          <w:tcPr>
            <w:tcW w:w="8550" w:type="dxa"/>
            <w:vAlign w:val="bottom"/>
          </w:tcPr>
          <w:p w14:paraId="6B25580C" w14:textId="77777777" w:rsidR="00EF0A3D" w:rsidRPr="00D7205E" w:rsidRDefault="00EF0A3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Citation</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
              <w:r>
                <w:rPr>
                  <w:sz w:val="20"/>
                  <w:rStyle w:val="Hyperlink"/>
                </w:rPr>
                <w:t xml:space="preserve">28265006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the Anti-PD-1 Antibody REGN2810 and Its Antitumor Activity in Human PD-1 Knock-In Mice.</w:t>
            </w:r>
            <w:r>
              <w:rPr>
                <w:color w:val="404040" w:themeColor="text1" w:themeTint="BF"/>
                <w:sz w:val="20"/>
                <w:szCs w:val="20"/>
              </w:rPr>
              <w:t xml:space="preserve"> </w:t>
            </w:r>
            <w:r w:rsidRPr="00D90DD4">
              <w:rPr>
                <w:i/>
                <w:color w:val="767171" w:themeColor="background2" w:themeShade="80"/>
                <w:sz w:val="20"/>
                <w:szCs w:val="20"/>
              </w:rPr>
              <w:t xml:space="preserve">Burova E et al., Mol Cancer Ther. 2017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
              <w:r>
                <w:rPr>
                  <w:sz w:val="20"/>
                  <w:rStyle w:val="Hyperlink"/>
                </w:rPr>
                <w:t xml:space="preserve">34937915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foundations of immune checkpoint blockade and the ipilimumab approval decennial.</w:t>
            </w:r>
            <w:r>
              <w:rPr>
                <w:color w:val="404040" w:themeColor="text1" w:themeTint="BF"/>
                <w:sz w:val="20"/>
                <w:szCs w:val="20"/>
              </w:rPr>
              <w:t xml:space="preserve"> </w:t>
            </w:r>
            <w:r w:rsidRPr="00D90DD4">
              <w:rPr>
                <w:i/>
                <w:color w:val="767171" w:themeColor="background2" w:themeShade="80"/>
                <w:sz w:val="20"/>
                <w:szCs w:val="20"/>
              </w:rPr>
              <w:t xml:space="preserve">Korman AJ et al., Nat Rev Drug Discov. 2022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
              <w:r>
                <w:rPr>
                  <w:sz w:val="20"/>
                  <w:rStyle w:val="Hyperlink"/>
                </w:rPr>
                <w:t xml:space="preserve">36008722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Cemiplimab plus chemotherapy versus chemotherapy alone in non-small cell lung cancer: a randomized, controlled, double-blind phase 3 trial.</w:t>
            </w:r>
            <w:r>
              <w:rPr>
                <w:color w:val="404040" w:themeColor="text1" w:themeTint="BF"/>
                <w:sz w:val="20"/>
                <w:szCs w:val="20"/>
              </w:rPr>
              <w:t xml:space="preserve"> </w:t>
            </w:r>
            <w:r w:rsidRPr="00D90DD4">
              <w:rPr>
                <w:i/>
                <w:color w:val="767171" w:themeColor="background2" w:themeShade="80"/>
                <w:sz w:val="20"/>
                <w:szCs w:val="20"/>
              </w:rPr>
              <w:t xml:space="preserve">Gogishvili M et al., Nat Med. 2022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
              <w:r>
                <w:rPr>
                  <w:sz w:val="20"/>
                  <w:rStyle w:val="Hyperlink"/>
                </w:rPr>
                <w:t xml:space="preserve">33476593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First-line nivolumab plus ipilimumab combined with two cycles of chemotherapy in patients with non-small-cell lung cancer (CheckMate 9LA): an international, randomised, open-label, phase 3 trial.</w:t>
            </w:r>
            <w:r>
              <w:rPr>
                <w:color w:val="404040" w:themeColor="text1" w:themeTint="BF"/>
                <w:sz w:val="20"/>
                <w:szCs w:val="20"/>
              </w:rPr>
              <w:t xml:space="preserve"> </w:t>
            </w:r>
            <w:r w:rsidRPr="00D90DD4">
              <w:rPr>
                <w:i/>
                <w:color w:val="767171" w:themeColor="background2" w:themeShade="80"/>
                <w:sz w:val="20"/>
                <w:szCs w:val="20"/>
              </w:rPr>
              <w:t xml:space="preserve">Paz-Ares L et al., Lancet Oncol. 2021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
              <w:r>
                <w:rPr>
                  <w:sz w:val="20"/>
                  <w:rStyle w:val="Hyperlink"/>
                </w:rPr>
                <w:t xml:space="preserve">34607285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First-line nivolumab plus ipilimumab with two cycles of chemotherapy versus chemotherapy alone (four cycles) in advanced non-small-cell lung cancer: CheckMate 9LA 2-year update.</w:t>
            </w:r>
            <w:r>
              <w:rPr>
                <w:color w:val="404040" w:themeColor="text1" w:themeTint="BF"/>
                <w:sz w:val="20"/>
                <w:szCs w:val="20"/>
              </w:rPr>
              <w:t xml:space="preserve"> </w:t>
            </w:r>
            <w:r w:rsidRPr="00D90DD4">
              <w:rPr>
                <w:i/>
                <w:color w:val="767171" w:themeColor="background2" w:themeShade="80"/>
                <w:sz w:val="20"/>
                <w:szCs w:val="20"/>
              </w:rPr>
              <w:t xml:space="preserve">Reck M et al., ESMO Open. 2021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
              <w:r>
                <w:rPr>
                  <w:sz w:val="20"/>
                  <w:rStyle w:val="Hyperlink"/>
                </w:rPr>
                <w:t xml:space="preserve">27042127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Tremelimumab: research and clinical development.</w:t>
            </w:r>
            <w:r>
              <w:rPr>
                <w:color w:val="404040" w:themeColor="text1" w:themeTint="BF"/>
                <w:sz w:val="20"/>
                <w:szCs w:val="20"/>
              </w:rPr>
              <w:t xml:space="preserve"> </w:t>
            </w:r>
            <w:r w:rsidRPr="00D90DD4">
              <w:rPr>
                <w:i/>
                <w:color w:val="767171" w:themeColor="background2" w:themeShade="80"/>
                <w:sz w:val="20"/>
                <w:szCs w:val="20"/>
              </w:rPr>
              <w:t xml:space="preserve">Comin-Anduix B et al., Onco Targets Ther. 2016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
              <w:r>
                <w:rPr>
                  <w:sz w:val="20"/>
                  <w:rStyle w:val="Hyperlink"/>
                </w:rPr>
                <w:t xml:space="preserve">23444951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Tremelimumab: a review of development to date in solid tumors.</w:t>
            </w:r>
            <w:r>
              <w:rPr>
                <w:color w:val="404040" w:themeColor="text1" w:themeTint="BF"/>
                <w:sz w:val="20"/>
                <w:szCs w:val="20"/>
              </w:rPr>
              <w:t xml:space="preserve"> </w:t>
            </w:r>
            <w:r w:rsidRPr="00D90DD4">
              <w:rPr>
                <w:i/>
                <w:color w:val="767171" w:themeColor="background2" w:themeShade="80"/>
                <w:sz w:val="20"/>
                <w:szCs w:val="20"/>
              </w:rPr>
              <w:t xml:space="preserve">Tarhini AA, Immunotherapy. 2013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
              <w:r>
                <w:rPr>
                  <w:sz w:val="20"/>
                  <w:rStyle w:val="Hyperlink"/>
                </w:rPr>
                <w:t xml:space="preserve">36327426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With or Without Tremelimumab in Combination With Chemotherapy as First-Line Therapy for Metastatic Non-Small-Cell Lung Cancer: The Phase III POSEIDON Study.</w:t>
            </w:r>
            <w:r>
              <w:rPr>
                <w:color w:val="404040" w:themeColor="text1" w:themeTint="BF"/>
                <w:sz w:val="20"/>
                <w:szCs w:val="20"/>
              </w:rPr>
              <w:t xml:space="preserve"> </w:t>
            </w:r>
            <w:r w:rsidRPr="00D90DD4">
              <w:rPr>
                <w:i/>
                <w:color w:val="767171" w:themeColor="background2" w:themeShade="80"/>
                <w:sz w:val="20"/>
                <w:szCs w:val="20"/>
              </w:rPr>
              <w:t xml:space="preserve">Johnson ML et al., J Clin Oncol. 2022 Nov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
              <w:r>
                <w:rPr>
                  <w:sz w:val="20"/>
                  <w:rStyle w:val="Hyperlink"/>
                </w:rPr>
                <w:t xml:space="preserve">33645367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an investigational anti-PD-L1 antibody for the treatment of biliary tract cancer.</w:t>
            </w:r>
            <w:r>
              <w:rPr>
                <w:color w:val="404040" w:themeColor="text1" w:themeTint="BF"/>
                <w:sz w:val="20"/>
                <w:szCs w:val="20"/>
              </w:rPr>
              <w:t xml:space="preserve"> </w:t>
            </w:r>
            <w:r w:rsidRPr="00D90DD4">
              <w:rPr>
                <w:i/>
                <w:color w:val="767171" w:themeColor="background2" w:themeShade="80"/>
                <w:sz w:val="20"/>
                <w:szCs w:val="20"/>
              </w:rPr>
              <w:t xml:space="preserve">Rizzo A et al., Expert Opin Investig Drugs. 2021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
              <w:r>
                <w:rPr>
                  <w:sz w:val="20"/>
                  <w:rStyle w:val="Hyperlink"/>
                </w:rPr>
                <w:t xml:space="preserve">34731446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 Review in Extensive-Stage SCLC.</w:t>
            </w:r>
            <w:r>
              <w:rPr>
                <w:color w:val="404040" w:themeColor="text1" w:themeTint="BF"/>
                <w:sz w:val="20"/>
                <w:szCs w:val="20"/>
              </w:rPr>
              <w:t xml:space="preserve"> </w:t>
            </w:r>
            <w:r w:rsidRPr="00D90DD4">
              <w:rPr>
                <w:i/>
                <w:color w:val="767171" w:themeColor="background2" w:themeShade="80"/>
                <w:sz w:val="20"/>
                <w:szCs w:val="20"/>
              </w:rPr>
              <w:t xml:space="preserve">Al-Salama ZT, Target Oncol. 2021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
              <w:r>
                <w:rPr>
                  <w:sz w:val="20"/>
                  <w:rStyle w:val="Hyperlink"/>
                </w:rPr>
                <w:t xml:space="preserve">28878676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PD-1 and PD-L1 Checkpoint Signaling Inhibition for Cancer Immunotherapy: Mechanism, Combinations, and Clinical Outcome.</w:t>
            </w:r>
            <w:r>
              <w:rPr>
                <w:color w:val="404040" w:themeColor="text1" w:themeTint="BF"/>
                <w:sz w:val="20"/>
                <w:szCs w:val="20"/>
              </w:rPr>
              <w:t xml:space="preserve"> </w:t>
            </w:r>
            <w:r w:rsidRPr="00D90DD4">
              <w:rPr>
                <w:i/>
                <w:color w:val="767171" w:themeColor="background2" w:themeShade="80"/>
                <w:sz w:val="20"/>
                <w:szCs w:val="20"/>
              </w:rPr>
              <w:t xml:space="preserve">Alsaab HO et al., Front Pharmacol. 2017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
              <w:r>
                <w:rPr>
                  <w:sz w:val="20"/>
                  <w:rStyle w:val="Hyperlink"/>
                </w:rPr>
                <w:t xml:space="preserve">27979383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versus docetaxel in patients with previously treated non-small-cell lung cancer (OAK): a phase 3, open-label, multicentre randomised controlled trial.</w:t>
            </w:r>
            <w:r>
              <w:rPr>
                <w:color w:val="404040" w:themeColor="text1" w:themeTint="BF"/>
                <w:sz w:val="20"/>
                <w:szCs w:val="20"/>
              </w:rPr>
              <w:t xml:space="preserve"> </w:t>
            </w:r>
            <w:r w:rsidRPr="00D90DD4">
              <w:rPr>
                <w:i/>
                <w:color w:val="767171" w:themeColor="background2" w:themeShade="80"/>
                <w:sz w:val="20"/>
                <w:szCs w:val="20"/>
              </w:rPr>
              <w:t xml:space="preserve">Rittmeyer A et al., Lancet. 2017 Jan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
              <w:r>
                <w:rPr>
                  <w:sz w:val="20"/>
                  <w:rStyle w:val="Hyperlink"/>
                </w:rPr>
                <w:t xml:space="preserve">28885881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after Chemoradiotherapy in Stage III Non-Small-Cell Lung Cancer.</w:t>
            </w:r>
            <w:r>
              <w:rPr>
                <w:color w:val="404040" w:themeColor="text1" w:themeTint="BF"/>
                <w:sz w:val="20"/>
                <w:szCs w:val="20"/>
              </w:rPr>
              <w:t xml:space="preserve"> </w:t>
            </w:r>
            <w:r w:rsidRPr="00D90DD4">
              <w:rPr>
                <w:i/>
                <w:color w:val="767171" w:themeColor="background2" w:themeShade="80"/>
                <w:sz w:val="20"/>
                <w:szCs w:val="20"/>
              </w:rPr>
              <w:t xml:space="preserve">Antonia SJ et al., N Engl J Med. 2017 Nov 16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
              <w:r>
                <w:rPr>
                  <w:sz w:val="20"/>
                  <w:rStyle w:val="Hyperlink"/>
                </w:rPr>
                <w:t xml:space="preserve">30280658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with Durvalumab after Chemoradiotherapy in Stage III NSCLC.</w:t>
            </w:r>
            <w:r>
              <w:rPr>
                <w:color w:val="404040" w:themeColor="text1" w:themeTint="BF"/>
                <w:sz w:val="20"/>
                <w:szCs w:val="20"/>
              </w:rPr>
              <w:t xml:space="preserve"> </w:t>
            </w:r>
            <w:r w:rsidRPr="00D90DD4">
              <w:rPr>
                <w:i/>
                <w:color w:val="767171" w:themeColor="background2" w:themeShade="80"/>
                <w:sz w:val="20"/>
                <w:szCs w:val="20"/>
              </w:rPr>
              <w:t xml:space="preserve">Antonia SJ et al., N Engl J Med. 2018 Dec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
              <w:r>
                <w:rPr>
                  <w:sz w:val="20"/>
                  <w:rStyle w:val="Hyperlink"/>
                </w:rPr>
                <w:t xml:space="preserve">32209338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Outcomes with durvalumab by tumour PD-L1 expression in unresectable, stage III non-small-cell lung cancer in the PACIFIC trial.</w:t>
            </w:r>
            <w:r>
              <w:rPr>
                <w:color w:val="404040" w:themeColor="text1" w:themeTint="BF"/>
                <w:sz w:val="20"/>
                <w:szCs w:val="20"/>
              </w:rPr>
              <w:t xml:space="preserve"> </w:t>
            </w:r>
            <w:r w:rsidRPr="00D90DD4">
              <w:rPr>
                <w:i/>
                <w:color w:val="767171" w:themeColor="background2" w:themeShade="80"/>
                <w:sz w:val="20"/>
                <w:szCs w:val="20"/>
              </w:rPr>
              <w:t xml:space="preserve">Paz-Ares L et al., Ann Oncol. 2020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
              <w:r>
                <w:rPr>
                  <w:sz w:val="20"/>
                  <w:rStyle w:val="Hyperlink"/>
                </w:rPr>
                <w:t xml:space="preserve">33583206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outcomes with durvalumab by PD-L1 expression and prior chemoradiotherapy-related variables in unresectable stage III non-small-cell lung cancer.</w:t>
            </w:r>
            <w:r>
              <w:rPr>
                <w:color w:val="404040" w:themeColor="text1" w:themeTint="BF"/>
                <w:sz w:val="20"/>
                <w:szCs w:val="20"/>
              </w:rPr>
              <w:t xml:space="preserve"> </w:t>
            </w:r>
            <w:r w:rsidRPr="00D90DD4">
              <w:rPr>
                <w:i/>
                <w:color w:val="767171" w:themeColor="background2" w:themeShade="80"/>
                <w:sz w:val="20"/>
                <w:szCs w:val="20"/>
              </w:rPr>
              <w:t xml:space="preserve">Garassino MC et al., Future Oncol. 2021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
              <w:r>
                <w:rPr>
                  <w:sz w:val="20"/>
                  <w:rStyle w:val="Hyperlink"/>
                </w:rPr>
                <w:t xml:space="preserve">35403841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Neoadjuvant Nivolumab plus Chemotherapy in Resectable Lung Cancer.</w:t>
            </w:r>
            <w:r>
              <w:rPr>
                <w:color w:val="404040" w:themeColor="text1" w:themeTint="BF"/>
                <w:sz w:val="20"/>
                <w:szCs w:val="20"/>
              </w:rPr>
              <w:t xml:space="preserve"> </w:t>
            </w:r>
            <w:r w:rsidRPr="00D90DD4">
              <w:rPr>
                <w:i/>
                <w:color w:val="767171" w:themeColor="background2" w:themeShade="80"/>
                <w:sz w:val="20"/>
                <w:szCs w:val="20"/>
              </w:rPr>
              <w:t xml:space="preserve">Forde PM et al., N Engl J Med. 2022 May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
              <w:r>
                <w:rPr>
                  <w:sz w:val="20"/>
                  <w:rStyle w:val="Hyperlink"/>
                </w:rPr>
                <w:t xml:space="preserve">26028407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Advanced Squamous-Cell Non-Small-Cell Lung Cancer.</w:t>
            </w:r>
            <w:r>
              <w:rPr>
                <w:color w:val="404040" w:themeColor="text1" w:themeTint="BF"/>
                <w:sz w:val="20"/>
                <w:szCs w:val="20"/>
              </w:rPr>
              <w:t xml:space="preserve"> </w:t>
            </w:r>
            <w:r w:rsidRPr="00D90DD4">
              <w:rPr>
                <w:i/>
                <w:color w:val="767171" w:themeColor="background2" w:themeShade="80"/>
                <w:sz w:val="20"/>
                <w:szCs w:val="20"/>
              </w:rPr>
              <w:t xml:space="preserve">Brahmer J et al., N Engl J Med. 2015 Jul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
              <w:r>
                <w:rPr>
                  <w:sz w:val="20"/>
                  <w:rStyle w:val="Hyperlink"/>
                </w:rPr>
                <w:t xml:space="preserve">33449799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Five-Year Outcomes From the Randomized, Phase III Trials CheckMate 017 and 057: Nivolumab Versus Docetaxel in Previously Treated Non-Small-Cell Lung Cancer.</w:t>
            </w:r>
            <w:r>
              <w:rPr>
                <w:color w:val="404040" w:themeColor="text1" w:themeTint="BF"/>
                <w:sz w:val="20"/>
                <w:szCs w:val="20"/>
              </w:rPr>
              <w:t xml:space="preserve"> </w:t>
            </w:r>
            <w:r w:rsidRPr="00D90DD4">
              <w:rPr>
                <w:i/>
                <w:color w:val="767171" w:themeColor="background2" w:themeShade="80"/>
                <w:sz w:val="20"/>
                <w:szCs w:val="20"/>
              </w:rPr>
              <w:t xml:space="preserve">Borghaei H et al., J Clin Oncol. 2021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
              <w:r>
                <w:rPr>
                  <w:sz w:val="20"/>
                  <w:rStyle w:val="Hyperlink"/>
                </w:rPr>
                <w:t xml:space="preserve">26412456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Advanced Nonsquamous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Borghaei H et al., N Engl J Med. 2015 Oct 22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
              <w:r>
                <w:rPr>
                  <w:sz w:val="20"/>
                  <w:rStyle w:val="Hyperlink"/>
                </w:rPr>
                <w:t xml:space="preserve">29023213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Previously Treated Patients With Advanced Non-Small-Cell Lung Cancer: Two-Year Outcomes From Two Randomized, Open-Label, Phase III Trials (CheckMate 017 and CheckMate 057).</w:t>
            </w:r>
            <w:r>
              <w:rPr>
                <w:color w:val="404040" w:themeColor="text1" w:themeTint="BF"/>
                <w:sz w:val="20"/>
                <w:szCs w:val="20"/>
              </w:rPr>
              <w:t xml:space="preserve"> </w:t>
            </w:r>
            <w:r w:rsidRPr="00D90DD4">
              <w:rPr>
                <w:i/>
                <w:color w:val="767171" w:themeColor="background2" w:themeShade="80"/>
                <w:sz w:val="20"/>
                <w:szCs w:val="20"/>
              </w:rPr>
              <w:t xml:space="preserve">Horn L et al., J Clin Oncol. 2017 Dec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
              <w:r>
                <w:rPr>
                  <w:sz w:val="20"/>
                  <w:rStyle w:val="Hyperlink"/>
                </w:rPr>
                <w:t xml:space="preserve">23718298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a novel antiangiogenic agent.</w:t>
            </w:r>
            <w:r>
              <w:rPr>
                <w:color w:val="404040" w:themeColor="text1" w:themeTint="BF"/>
                <w:sz w:val="20"/>
                <w:szCs w:val="20"/>
              </w:rPr>
              <w:t xml:space="preserve"> </w:t>
            </w:r>
            <w:r w:rsidRPr="00D90DD4">
              <w:rPr>
                <w:i/>
                <w:color w:val="767171" w:themeColor="background2" w:themeShade="80"/>
                <w:sz w:val="20"/>
                <w:szCs w:val="20"/>
              </w:rPr>
              <w:t xml:space="preserve">Wadhwa R et al., Future Oncol. 2013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
              <w:r>
                <w:rPr>
                  <w:sz w:val="20"/>
                  <w:rStyle w:val="Hyperlink"/>
                </w:rPr>
                <w:t xml:space="preserve">30314524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Targeting VEGFR2 with Ramucirumab strongly impacts effector/ activated regulatory T cells and CD8T cells in the tumor microenvironment.</w:t>
            </w:r>
            <w:r>
              <w:rPr>
                <w:color w:val="404040" w:themeColor="text1" w:themeTint="BF"/>
                <w:sz w:val="20"/>
                <w:szCs w:val="20"/>
              </w:rPr>
              <w:t xml:space="preserve"> </w:t>
            </w:r>
            <w:r w:rsidRPr="00D90DD4">
              <w:rPr>
                <w:i/>
                <w:color w:val="767171" w:themeColor="background2" w:themeShade="80"/>
                <w:sz w:val="20"/>
                <w:szCs w:val="20"/>
              </w:rPr>
              <w:t xml:space="preserve">Tada Y et al., J Immunother Cancer. 2018 Oct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
              <w:r>
                <w:rPr>
                  <w:sz w:val="20"/>
                  <w:rStyle w:val="Hyperlink"/>
                </w:rPr>
                <w:t xml:space="preserve">27306885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Evolution of ramucirumab in the treatment of cancer - A review of literature.</w:t>
            </w:r>
            <w:r>
              <w:rPr>
                <w:color w:val="404040" w:themeColor="text1" w:themeTint="BF"/>
                <w:sz w:val="20"/>
                <w:szCs w:val="20"/>
              </w:rPr>
              <w:t xml:space="preserve"> </w:t>
            </w:r>
            <w:r w:rsidRPr="00D90DD4">
              <w:rPr>
                <w:i/>
                <w:color w:val="767171" w:themeColor="background2" w:themeShade="80"/>
                <w:sz w:val="20"/>
                <w:szCs w:val="20"/>
              </w:rPr>
              <w:t xml:space="preserve">Vennepureddy A et al., J Oncol Pharm Pract. 2017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
              <w:r>
                <w:rPr>
                  <w:sz w:val="20"/>
                  <w:rStyle w:val="Hyperlink"/>
                </w:rPr>
                <w:t xml:space="preserve">29191593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Outcomes in patients with aggressive or refractory disease from REVEL: A randomized phase III study of docetaxel with ramucirumab or placebo for second-line treatment of stage IV non-small-cell lung cancer.</w:t>
            </w:r>
            <w:r>
              <w:rPr>
                <w:color w:val="404040" w:themeColor="text1" w:themeTint="BF"/>
                <w:sz w:val="20"/>
                <w:szCs w:val="20"/>
              </w:rPr>
              <w:t xml:space="preserve"> </w:t>
            </w:r>
            <w:r w:rsidRPr="00D90DD4">
              <w:rPr>
                <w:i/>
                <w:color w:val="767171" w:themeColor="background2" w:themeShade="80"/>
                <w:sz w:val="20"/>
                <w:szCs w:val="20"/>
              </w:rPr>
              <w:t xml:space="preserve">Reck M et al., Lung Cancer. 2017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
              <w:r>
                <w:rPr>
                  <w:sz w:val="20"/>
                  <w:rStyle w:val="Hyperlink"/>
                </w:rPr>
                <w:t xml:space="preserve">24933332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docetaxel versus placebo plus docetaxel for second-line treatment of stage IV non-small-cell lung cancer after disease progression on platinum-based therapy (REVEL): a multicentre, double-blind, randomised phase 3 trial.</w:t>
            </w:r>
            <w:r>
              <w:rPr>
                <w:color w:val="404040" w:themeColor="text1" w:themeTint="BF"/>
                <w:sz w:val="20"/>
                <w:szCs w:val="20"/>
              </w:rPr>
              <w:t xml:space="preserve"> </w:t>
            </w:r>
            <w:r w:rsidRPr="00D90DD4">
              <w:rPr>
                <w:i/>
                <w:color w:val="767171" w:themeColor="background2" w:themeShade="80"/>
                <w:sz w:val="20"/>
                <w:szCs w:val="20"/>
              </w:rPr>
              <w:t xml:space="preserve">Garon EB et al., Lancet. 2014 Aug 23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
              <w:r>
                <w:rPr>
                  <w:sz w:val="20"/>
                  <w:rStyle w:val="Hyperlink"/>
                </w:rPr>
                <w:t xml:space="preserve">23419196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VEGF signaling pathway in cancer: the road ahead.</w:t>
            </w:r>
            <w:r>
              <w:rPr>
                <w:color w:val="404040" w:themeColor="text1" w:themeTint="BF"/>
                <w:sz w:val="20"/>
                <w:szCs w:val="20"/>
              </w:rPr>
              <w:t xml:space="preserve"> </w:t>
            </w:r>
            <w:r w:rsidRPr="00D90DD4">
              <w:rPr>
                <w:i/>
                <w:color w:val="767171" w:themeColor="background2" w:themeShade="80"/>
                <w:sz w:val="20"/>
                <w:szCs w:val="20"/>
              </w:rPr>
              <w:t xml:space="preserve">Stacker SA et al., Chin J Cancer. 2013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
              <w:r>
                <w:rPr>
                  <w:sz w:val="20"/>
                  <w:rStyle w:val="Hyperlink"/>
                </w:rPr>
                <w:t xml:space="preserve">20688807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w:t>
            </w:r>
            <w:r>
              <w:rPr>
                <w:color w:val="404040" w:themeColor="text1" w:themeTint="BF"/>
                <w:sz w:val="20"/>
                <w:szCs w:val="20"/>
              </w:rPr>
              <w:t xml:space="preserve"> </w:t>
            </w:r>
            <w:r w:rsidRPr="00D90DD4">
              <w:rPr>
                <w:i/>
                <w:color w:val="767171" w:themeColor="background2" w:themeShade="80"/>
                <w:sz w:val="20"/>
                <w:szCs w:val="20"/>
              </w:rPr>
              <w:t xml:space="preserve">Kazazi-Hyseni F et al., Oncologist. 2010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
              <w:r>
                <w:rPr>
                  <w:sz w:val="20"/>
                  <w:rStyle w:val="Hyperlink"/>
                </w:rPr>
                <w:t xml:space="preserve">32335505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(Avastin®) in cancer treatment: A review of 15 years of clinical experience and future outlook.</w:t>
            </w:r>
            <w:r>
              <w:rPr>
                <w:color w:val="404040" w:themeColor="text1" w:themeTint="BF"/>
                <w:sz w:val="20"/>
                <w:szCs w:val="20"/>
              </w:rPr>
              <w:t xml:space="preserve"> </w:t>
            </w:r>
            <w:r w:rsidRPr="00D90DD4">
              <w:rPr>
                <w:i/>
                <w:color w:val="767171" w:themeColor="background2" w:themeShade="80"/>
                <w:sz w:val="20"/>
                <w:szCs w:val="20"/>
              </w:rPr>
              <w:t xml:space="preserve">Garcia J et al., Cancer Treat Rev. 2020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2">
              <w:r>
                <w:rPr>
                  <w:sz w:val="20"/>
                  <w:rStyle w:val="Hyperlink"/>
                </w:rPr>
                <w:t xml:space="preserve">17167137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Paclitaxel-carboplatin alone or with bevacizumab for non-small-cell lung cancer.</w:t>
            </w:r>
            <w:r>
              <w:rPr>
                <w:color w:val="404040" w:themeColor="text1" w:themeTint="BF"/>
                <w:sz w:val="20"/>
                <w:szCs w:val="20"/>
              </w:rPr>
              <w:t xml:space="preserve"> </w:t>
            </w:r>
            <w:r w:rsidRPr="00D90DD4">
              <w:rPr>
                <w:i/>
                <w:color w:val="767171" w:themeColor="background2" w:themeShade="80"/>
                <w:sz w:val="20"/>
                <w:szCs w:val="20"/>
              </w:rPr>
              <w:t xml:space="preserve">Sandler A et al., N Engl J Med. 2006 Dec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3">
              <w:r>
                <w:rPr>
                  <w:sz w:val="20"/>
                  <w:rStyle w:val="Hyperlink"/>
                </w:rPr>
                <w:t xml:space="preserve">17602060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(Avastin) plus Carboplatin and Paclitaxel as first-line treatment of advanced/metastatic recurrent nonsquamous non-small cell lung cancer.</w:t>
            </w:r>
            <w:r>
              <w:rPr>
                <w:color w:val="404040" w:themeColor="text1" w:themeTint="BF"/>
                <w:sz w:val="20"/>
                <w:szCs w:val="20"/>
              </w:rPr>
              <w:t xml:space="preserve"> </w:t>
            </w:r>
            <w:r w:rsidRPr="00D90DD4">
              <w:rPr>
                <w:i/>
                <w:color w:val="767171" w:themeColor="background2" w:themeShade="80"/>
                <w:sz w:val="20"/>
                <w:szCs w:val="20"/>
              </w:rPr>
              <w:t xml:space="preserve">Cohen MH et al., Oncologist. 2007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4">
              <w:r>
                <w:rPr>
                  <w:sz w:val="20"/>
                  <w:rStyle w:val="Hyperlink"/>
                </w:rPr>
                <w:t xml:space="preserve">33725344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Monoclonal Antibody-Based Treatments in Non-small Cell Lung Cancer.</w:t>
            </w:r>
            <w:r>
              <w:rPr>
                <w:color w:val="404040" w:themeColor="text1" w:themeTint="BF"/>
                <w:sz w:val="20"/>
                <w:szCs w:val="20"/>
              </w:rPr>
              <w:t xml:space="preserve"> </w:t>
            </w:r>
            <w:r w:rsidRPr="00D90DD4">
              <w:rPr>
                <w:i/>
                <w:color w:val="767171" w:themeColor="background2" w:themeShade="80"/>
                <w:sz w:val="20"/>
                <w:szCs w:val="20"/>
              </w:rPr>
              <w:t xml:space="preserve">Panahi Y et al., Adv Exp Med Biol.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5">
              <w:r>
                <w:rPr>
                  <w:sz w:val="20"/>
                  <w:rStyle w:val="Hyperlink"/>
                </w:rPr>
                <w:t xml:space="preserve">20150572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with cisplatin-gemcitabine and bevacizumab or placebo as first-line therapy for nonsquamous non-small-cell lung cancer: results from a randomised phase III trial (AVAiL).</w:t>
            </w:r>
            <w:r>
              <w:rPr>
                <w:color w:val="404040" w:themeColor="text1" w:themeTint="BF"/>
                <w:sz w:val="20"/>
                <w:szCs w:val="20"/>
              </w:rPr>
              <w:t xml:space="preserve"> </w:t>
            </w:r>
            <w:r w:rsidRPr="00D90DD4">
              <w:rPr>
                <w:i/>
                <w:color w:val="767171" w:themeColor="background2" w:themeShade="80"/>
                <w:sz w:val="20"/>
                <w:szCs w:val="20"/>
              </w:rPr>
              <w:t xml:space="preserve">Reck M et al., Ann Oncol. 2010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6">
              <w:r>
                <w:rPr>
                  <w:sz w:val="20"/>
                  <w:rStyle w:val="Hyperlink"/>
                </w:rPr>
                <w:t xml:space="preserve">30392436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and Erlotinib in the treatment of squamous-cell lung cancer.</w:t>
            </w:r>
            <w:r>
              <w:rPr>
                <w:color w:val="404040" w:themeColor="text1" w:themeTint="BF"/>
                <w:sz w:val="20"/>
                <w:szCs w:val="20"/>
              </w:rPr>
              <w:t xml:space="preserve"> </w:t>
            </w:r>
            <w:r w:rsidRPr="00D90DD4">
              <w:rPr>
                <w:i/>
                <w:color w:val="767171" w:themeColor="background2" w:themeShade="80"/>
                <w:sz w:val="20"/>
                <w:szCs w:val="20"/>
              </w:rPr>
              <w:t xml:space="preserve">Tagliamento M et al., Expert Opin Pharmacother. 2018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7">
              <w:r>
                <w:rPr>
                  <w:sz w:val="20"/>
                  <w:rStyle w:val="Hyperlink"/>
                </w:rPr>
                <w:t xml:space="preserve">29902295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ERBB Mutations With Clinical Outcomes of Afatinib- or Erlotinib-Treated Patients With Lung Squamous Cell Carcinoma: Secondary Analysis of the LUX-Lung 8 Randomized Clinical Trial.</w:t>
            </w:r>
            <w:r>
              <w:rPr>
                <w:color w:val="404040" w:themeColor="text1" w:themeTint="BF"/>
                <w:sz w:val="20"/>
                <w:szCs w:val="20"/>
              </w:rPr>
              <w:t xml:space="preserve"> </w:t>
            </w:r>
            <w:r w:rsidRPr="00D90DD4">
              <w:rPr>
                <w:i/>
                <w:color w:val="767171" w:themeColor="background2" w:themeShade="80"/>
                <w:sz w:val="20"/>
                <w:szCs w:val="20"/>
              </w:rPr>
              <w:t xml:space="preserve">Goss GD et al., JAMA Oncol. 2018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8">
              <w:r>
                <w:rPr>
                  <w:sz w:val="20"/>
                  <w:rStyle w:val="Hyperlink"/>
                </w:rPr>
                <w:t xml:space="preserve">26156651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versus erlotinib as second-line treatment of patients with advanced squamous cell carcinoma of the lung (LUX-Lung 8): an open-label randomised controlled phase 3 trial.</w:t>
            </w:r>
            <w:r>
              <w:rPr>
                <w:color w:val="404040" w:themeColor="text1" w:themeTint="BF"/>
                <w:sz w:val="20"/>
                <w:szCs w:val="20"/>
              </w:rPr>
              <w:t xml:space="preserve"> </w:t>
            </w:r>
            <w:r w:rsidRPr="00D90DD4">
              <w:rPr>
                <w:i/>
                <w:color w:val="767171" w:themeColor="background2" w:themeShade="80"/>
                <w:sz w:val="20"/>
                <w:szCs w:val="20"/>
              </w:rPr>
              <w:t xml:space="preserve">Soria JC et al., Lancet Oncol. 2015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9">
              <w:r>
                <w:rPr>
                  <w:sz w:val="20"/>
                  <w:rStyle w:val="Hyperlink"/>
                </w:rPr>
                <w:t xml:space="preserve">33061419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Advanced Squamous Cell Carcinoma of the Lung: Current Treatment Approaches and the Role of Afatinib.</w:t>
            </w:r>
            <w:r>
              <w:rPr>
                <w:color w:val="404040" w:themeColor="text1" w:themeTint="BF"/>
                <w:sz w:val="20"/>
                <w:szCs w:val="20"/>
              </w:rPr>
              <w:t xml:space="preserve"> </w:t>
            </w:r>
            <w:r w:rsidRPr="00D90DD4">
              <w:rPr>
                <w:i/>
                <w:color w:val="767171" w:themeColor="background2" w:themeShade="80"/>
                <w:sz w:val="20"/>
                <w:szCs w:val="20"/>
              </w:rPr>
              <w:t xml:space="preserve">Santos ES et al., Onco Targets Ther.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0">
              <w:r>
                <w:rPr>
                  <w:sz w:val="20"/>
                  <w:rStyle w:val="Hyperlink"/>
                </w:rPr>
                <w:t xml:space="preserve">31432705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in lung cancer: current evidence and future perspectives.</w:t>
            </w:r>
            <w:r>
              <w:rPr>
                <w:color w:val="404040" w:themeColor="text1" w:themeTint="BF"/>
                <w:sz w:val="20"/>
                <w:szCs w:val="20"/>
              </w:rPr>
              <w:t xml:space="preserve"> </w:t>
            </w:r>
            <w:r w:rsidRPr="00D90DD4">
              <w:rPr>
                <w:i/>
                <w:color w:val="767171" w:themeColor="background2" w:themeShade="80"/>
                <w:sz w:val="20"/>
                <w:szCs w:val="20"/>
              </w:rPr>
              <w:t xml:space="preserve">Palumbo G et al., Future Oncol. 2019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1">
              <w:r>
                <w:rPr>
                  <w:sz w:val="20"/>
                  <w:rStyle w:val="Hyperlink"/>
                </w:rPr>
                <w:t xml:space="preserve">30280635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plus Chemotherapy for 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Paz-Ares L et al., N Engl J Med. 2018 Nov 22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2">
              <w:r>
                <w:rPr>
                  <w:sz w:val="20"/>
                  <w:rStyle w:val="Hyperlink"/>
                </w:rPr>
                <w:t xml:space="preserve">31751163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Health-Related Quality of Life With Carboplatin-Paclitaxel or nab-Paclitaxel With or Without Pembrolizumab in Patients With Metastatic 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Mazieres J et al., J Clin Oncol. 2020 Jan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3">
              <w:r>
                <w:rPr>
                  <w:sz w:val="20"/>
                  <w:rStyle w:val="Hyperlink"/>
                </w:rPr>
                <w:t xml:space="preserve">18275813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Structural basis for EGF receptor inhibition by the therapeutic antibody IMC-11F8.</w:t>
            </w:r>
            <w:r>
              <w:rPr>
                <w:color w:val="404040" w:themeColor="text1" w:themeTint="BF"/>
                <w:sz w:val="20"/>
                <w:szCs w:val="20"/>
              </w:rPr>
              <w:t xml:space="preserve"> </w:t>
            </w:r>
            <w:r w:rsidRPr="00D90DD4">
              <w:rPr>
                <w:i/>
                <w:color w:val="767171" w:themeColor="background2" w:themeShade="80"/>
                <w:sz w:val="20"/>
                <w:szCs w:val="20"/>
              </w:rPr>
              <w:t xml:space="preserve">Li S et al., Structure. 2008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4">
              <w:r>
                <w:rPr>
                  <w:sz w:val="20"/>
                  <w:rStyle w:val="Hyperlink"/>
                </w:rPr>
                <w:t xml:space="preserve">30025476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a new option for first-line treatment of squamous cell lung cancer.</w:t>
            </w:r>
            <w:r>
              <w:rPr>
                <w:color w:val="404040" w:themeColor="text1" w:themeTint="BF"/>
                <w:sz w:val="20"/>
                <w:szCs w:val="20"/>
              </w:rPr>
              <w:t xml:space="preserve"> </w:t>
            </w:r>
            <w:r w:rsidRPr="00D90DD4">
              <w:rPr>
                <w:i/>
                <w:color w:val="767171" w:themeColor="background2" w:themeShade="80"/>
                <w:sz w:val="20"/>
                <w:szCs w:val="20"/>
              </w:rPr>
              <w:t xml:space="preserve">Jiménez Aguilar E et al., Expert Opin Drug Metab Toxicol. 2018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5">
              <w:r>
                <w:rPr>
                  <w:sz w:val="20"/>
                  <w:rStyle w:val="Hyperlink"/>
                </w:rPr>
                <w:t xml:space="preserve">26045340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plus gemcitabine and cisplatin versus gemcitabine and cisplatin alone as first-line therapy in patients with stage IV squamous non-small-cell lung cancer (SQUIRE): an open-label, randomised, controlled phase 3 trial.</w:t>
            </w:r>
            <w:r>
              <w:rPr>
                <w:color w:val="404040" w:themeColor="text1" w:themeTint="BF"/>
                <w:sz w:val="20"/>
                <w:szCs w:val="20"/>
              </w:rPr>
              <w:t xml:space="preserve"> </w:t>
            </w:r>
            <w:r w:rsidRPr="00D90DD4">
              <w:rPr>
                <w:i/>
                <w:color w:val="767171" w:themeColor="background2" w:themeShade="80"/>
                <w:sz w:val="20"/>
                <w:szCs w:val="20"/>
              </w:rPr>
              <w:t xml:space="preserve">Thatcher N et al., Lancet Oncol. 2015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6">
              <w:r>
                <w:rPr>
                  <w:sz w:val="20"/>
                  <w:rStyle w:val="Hyperlink"/>
                </w:rPr>
                <w:t xml:space="preserve">26980471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Effect of Necitumumab in Combination with Gemcitabine plus Cisplatin on Tolerability and on Quality of Life: Results from the Phase 3 SQUIRE Trial.</w:t>
            </w:r>
            <w:r>
              <w:rPr>
                <w:color w:val="404040" w:themeColor="text1" w:themeTint="BF"/>
                <w:sz w:val="20"/>
                <w:szCs w:val="20"/>
              </w:rPr>
              <w:t xml:space="preserve"> </w:t>
            </w:r>
            <w:r w:rsidRPr="00D90DD4">
              <w:rPr>
                <w:i/>
                <w:color w:val="767171" w:themeColor="background2" w:themeShade="80"/>
                <w:sz w:val="20"/>
                <w:szCs w:val="20"/>
              </w:rPr>
              <w:t xml:space="preserve">Reck M et al., J Thorac Oncol. 2016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7">
              <w:r>
                <w:rPr>
                  <w:sz w:val="20"/>
                  <w:rStyle w:val="Hyperlink"/>
                </w:rPr>
                <w:t xml:space="preserve">26301799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Alterations as Therapeutic Targets in Non-Small-Cell Lung Cancer.</w:t>
            </w:r>
            <w:r>
              <w:rPr>
                <w:color w:val="404040" w:themeColor="text1" w:themeTint="BF"/>
                <w:sz w:val="20"/>
                <w:szCs w:val="20"/>
              </w:rPr>
              <w:t xml:space="preserve"> </w:t>
            </w:r>
            <w:r w:rsidRPr="00D90DD4">
              <w:rPr>
                <w:i/>
                <w:color w:val="767171" w:themeColor="background2" w:themeShade="80"/>
                <w:sz w:val="20"/>
                <w:szCs w:val="20"/>
              </w:rPr>
              <w:t xml:space="preserve">Nguyen-Ngoc T et al., J Thorac Oncol. 2015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8">
              <w:r>
                <w:rPr>
                  <w:sz w:val="20"/>
                  <w:rStyle w:val="Hyperlink"/>
                </w:rPr>
                <w:t xml:space="preserve">15035987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 of activation of the RAF-ERK signaling pathway by oncogenic mutations of B-RAF.</w:t>
            </w:r>
            <w:r>
              <w:rPr>
                <w:color w:val="404040" w:themeColor="text1" w:themeTint="BF"/>
                <w:sz w:val="20"/>
                <w:szCs w:val="20"/>
              </w:rPr>
              <w:t xml:space="preserve"> </w:t>
            </w:r>
            <w:r w:rsidRPr="00D90DD4">
              <w:rPr>
                <w:i/>
                <w:color w:val="767171" w:themeColor="background2" w:themeShade="80"/>
                <w:sz w:val="20"/>
                <w:szCs w:val="20"/>
              </w:rPr>
              <w:t xml:space="preserve">Wan PT et al., Cell. 2004 Mar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9">
              <w:r>
                <w:rPr>
                  <w:sz w:val="20"/>
                  <w:rStyle w:val="Hyperlink"/>
                </w:rPr>
                <w:t xml:space="preserve">15488754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Guilty as charged: B-RAF is a human oncogene.</w:t>
            </w:r>
            <w:r>
              <w:rPr>
                <w:color w:val="404040" w:themeColor="text1" w:themeTint="BF"/>
                <w:sz w:val="20"/>
                <w:szCs w:val="20"/>
              </w:rPr>
              <w:t xml:space="preserve"> </w:t>
            </w:r>
            <w:r w:rsidRPr="00D90DD4">
              <w:rPr>
                <w:i/>
                <w:color w:val="767171" w:themeColor="background2" w:themeShade="80"/>
                <w:sz w:val="20"/>
                <w:szCs w:val="20"/>
              </w:rPr>
              <w:t xml:space="preserve">Garnett MJ et al., Cancer Cell. 2004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0">
              <w:r>
                <w:rPr>
                  <w:sz w:val="20"/>
                  <w:rStyle w:val="Hyperlink"/>
                </w:rPr>
                <w:t xml:space="preserve">25435214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Targeting RAS-ERK signalling in cancer: promises and challenges.</w:t>
            </w:r>
            <w:r>
              <w:rPr>
                <w:color w:val="404040" w:themeColor="text1" w:themeTint="BF"/>
                <w:sz w:val="20"/>
                <w:szCs w:val="20"/>
              </w:rPr>
              <w:t xml:space="preserve"> </w:t>
            </w:r>
            <w:r w:rsidRPr="00D90DD4">
              <w:rPr>
                <w:i/>
                <w:color w:val="767171" w:themeColor="background2" w:themeShade="80"/>
                <w:sz w:val="20"/>
                <w:szCs w:val="20"/>
              </w:rPr>
              <w:t xml:space="preserve">Samatar AA et al., Nat Rev Drug Discov. 2014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1">
              <w:r>
                <w:rPr>
                  <w:sz w:val="20"/>
                  <w:rStyle w:val="Hyperlink"/>
                </w:rPr>
                <w:t xml:space="preserve">30899313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Agents to treat BRAF-mutant lung cancer.</w:t>
            </w:r>
            <w:r>
              <w:rPr>
                <w:color w:val="404040" w:themeColor="text1" w:themeTint="BF"/>
                <w:sz w:val="20"/>
                <w:szCs w:val="20"/>
              </w:rPr>
              <w:t xml:space="preserve"> </w:t>
            </w:r>
            <w:r w:rsidRPr="00D90DD4">
              <w:rPr>
                <w:i/>
                <w:color w:val="767171" w:themeColor="background2" w:themeShade="80"/>
                <w:sz w:val="20"/>
                <w:szCs w:val="20"/>
              </w:rPr>
              <w:t xml:space="preserve">Alvarez JGB et al., Drugs Context.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2">
              <w:r>
                <w:rPr>
                  <w:sz w:val="20"/>
                  <w:rStyle w:val="Hyperlink"/>
                </w:rPr>
                <w:t xml:space="preserve">29540830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Classifying BRAF alterations in cancer: new rational therapeutic strategies for actionable mutations.</w:t>
            </w:r>
            <w:r>
              <w:rPr>
                <w:color w:val="404040" w:themeColor="text1" w:themeTint="BF"/>
                <w:sz w:val="20"/>
                <w:szCs w:val="20"/>
              </w:rPr>
              <w:t xml:space="preserve"> </w:t>
            </w:r>
            <w:r w:rsidRPr="00D90DD4">
              <w:rPr>
                <w:i/>
                <w:color w:val="767171" w:themeColor="background2" w:themeShade="80"/>
                <w:sz w:val="20"/>
                <w:szCs w:val="20"/>
              </w:rPr>
              <w:t xml:space="preserve">Dankner M et al., Oncogene. 2018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3">
              <w:r>
                <w:rPr>
                  <w:sz w:val="20"/>
                  <w:rStyle w:val="Hyperlink"/>
                </w:rPr>
                <w:t xml:space="preserve">29438093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Dabrafenib and Trametinib for the Treatment of Metastatic Non-Small Cell Lung Cancers Harboring BRAF V600E Mutations.</w:t>
            </w:r>
            <w:r>
              <w:rPr>
                <w:color w:val="404040" w:themeColor="text1" w:themeTint="BF"/>
                <w:sz w:val="20"/>
                <w:szCs w:val="20"/>
              </w:rPr>
              <w:t xml:space="preserve"> </w:t>
            </w:r>
            <w:r w:rsidRPr="00D90DD4">
              <w:rPr>
                <w:i/>
                <w:color w:val="767171" w:themeColor="background2" w:themeShade="80"/>
                <w:sz w:val="20"/>
                <w:szCs w:val="20"/>
              </w:rPr>
              <w:t xml:space="preserve">Odogwu L et al., Oncologist. 2018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4">
              <w:r>
                <w:rPr>
                  <w:sz w:val="20"/>
                  <w:rStyle w:val="Hyperlink"/>
                </w:rPr>
                <w:t xml:space="preserve">12068308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Mutations of the BRAF gene in human cancer.</w:t>
            </w:r>
            <w:r>
              <w:rPr>
                <w:color w:val="404040" w:themeColor="text1" w:themeTint="BF"/>
                <w:sz w:val="20"/>
                <w:szCs w:val="20"/>
              </w:rPr>
              <w:t xml:space="preserve"> </w:t>
            </w:r>
            <w:r w:rsidRPr="00D90DD4">
              <w:rPr>
                <w:i/>
                <w:color w:val="767171" w:themeColor="background2" w:themeShade="80"/>
                <w:sz w:val="20"/>
                <w:szCs w:val="20"/>
              </w:rPr>
              <w:t xml:space="preserve">Davies H et al., Nature. 2002 Jun 27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5">
              <w:r>
                <w:rPr>
                  <w:sz w:val="20"/>
                  <w:rStyle w:val="Hyperlink"/>
                </w:rPr>
                <w:t xml:space="preserve">23833300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pathologic, and biologic features associated with BRAF mutations in non-small cell lung cancer.</w:t>
            </w:r>
            <w:r>
              <w:rPr>
                <w:color w:val="404040" w:themeColor="text1" w:themeTint="BF"/>
                <w:sz w:val="20"/>
                <w:szCs w:val="20"/>
              </w:rPr>
              <w:t xml:space="preserve"> </w:t>
            </w:r>
            <w:r w:rsidRPr="00D90DD4">
              <w:rPr>
                <w:i/>
                <w:color w:val="767171" w:themeColor="background2" w:themeShade="80"/>
                <w:sz w:val="20"/>
                <w:szCs w:val="20"/>
              </w:rPr>
              <w:t xml:space="preserve">Cardarella S et al., Clin Cancer Res. 2013 Aug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6">
              <w:r>
                <w:rPr>
                  <w:sz w:val="20"/>
                  <w:rStyle w:val="Hyperlink"/>
                </w:rPr>
                <w:t xml:space="preserve">24552757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BRAF-mutations in non-small cell lung cancer.</w:t>
            </w:r>
            <w:r>
              <w:rPr>
                <w:color w:val="404040" w:themeColor="text1" w:themeTint="BF"/>
                <w:sz w:val="20"/>
                <w:szCs w:val="20"/>
              </w:rPr>
              <w:t xml:space="preserve"> </w:t>
            </w:r>
            <w:r w:rsidRPr="00D90DD4">
              <w:rPr>
                <w:i/>
                <w:color w:val="767171" w:themeColor="background2" w:themeShade="80"/>
                <w:sz w:val="20"/>
                <w:szCs w:val="20"/>
              </w:rPr>
              <w:t xml:space="preserve">Brustugun OT et al., Lung Cancer. 2014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7">
              <w:r>
                <w:rPr>
                  <w:sz w:val="20"/>
                  <w:rStyle w:val="Hyperlink"/>
                </w:rPr>
                <w:t xml:space="preserve">25273224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Clinicopathologic features and outcomes of patients with lung adenocarcinomas harboring BRAF mutations in the Lung Cancer Mutation Consortium.</w:t>
            </w:r>
            <w:r>
              <w:rPr>
                <w:color w:val="404040" w:themeColor="text1" w:themeTint="BF"/>
                <w:sz w:val="20"/>
                <w:szCs w:val="20"/>
              </w:rPr>
              <w:t xml:space="preserve"> </w:t>
            </w:r>
            <w:r w:rsidRPr="00D90DD4">
              <w:rPr>
                <w:i/>
                <w:color w:val="767171" w:themeColor="background2" w:themeShade="80"/>
                <w:sz w:val="20"/>
                <w:szCs w:val="20"/>
              </w:rPr>
              <w:t xml:space="preserve">Villaruz LC et al., Cancer. 2015 Feb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8">
              <w:r>
                <w:rPr>
                  <w:sz w:val="20"/>
                  <w:rStyle w:val="Hyperlink"/>
                </w:rPr>
                <w:t xml:space="preserve">30464690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Patients with non-small-cell lung cancer harbouring a BRAF mutation: a multicentre study exploring clinical characteristics, management, and outcomes in a real-life setting: EXPLORE GFPC 02-14.</w:t>
            </w:r>
            <w:r>
              <w:rPr>
                <w:color w:val="404040" w:themeColor="text1" w:themeTint="BF"/>
                <w:sz w:val="20"/>
                <w:szCs w:val="20"/>
              </w:rPr>
              <w:t xml:space="preserve"> </w:t>
            </w:r>
            <w:r w:rsidRPr="00D90DD4">
              <w:rPr>
                <w:i/>
                <w:color w:val="767171" w:themeColor="background2" w:themeShade="80"/>
                <w:sz w:val="20"/>
                <w:szCs w:val="20"/>
              </w:rPr>
              <w:t xml:space="preserve">Auliac JB et al., Curr Oncol. 2018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9">
              <w:r>
                <w:rPr>
                  <w:sz w:val="20"/>
                  <w:rStyle w:val="Hyperlink"/>
                </w:rPr>
                <w:t xml:space="preserve">21825258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features and outcome of patients with non-small-cell lung cancer harboring BRAF mutations.</w:t>
            </w:r>
            <w:r>
              <w:rPr>
                <w:color w:val="404040" w:themeColor="text1" w:themeTint="BF"/>
                <w:sz w:val="20"/>
                <w:szCs w:val="20"/>
              </w:rPr>
              <w:t xml:space="preserve"> </w:t>
            </w:r>
            <w:r w:rsidRPr="00D90DD4">
              <w:rPr>
                <w:i/>
                <w:color w:val="767171" w:themeColor="background2" w:themeShade="80"/>
                <w:sz w:val="20"/>
                <w:szCs w:val="20"/>
              </w:rPr>
              <w:t xml:space="preserve">Marchetti A et al., J Clin Oncol. 2011 Sep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0">
              <w:r>
                <w:rPr>
                  <w:sz w:val="20"/>
                  <w:rStyle w:val="Hyperlink"/>
                </w:rPr>
                <w:t xml:space="preserve">20496265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PLX-4032, a small-molecule B-Raf inhibitor for the potential treatment of malignant melanoma.</w:t>
            </w:r>
            <w:r>
              <w:rPr>
                <w:color w:val="404040" w:themeColor="text1" w:themeTint="BF"/>
                <w:sz w:val="20"/>
                <w:szCs w:val="20"/>
              </w:rPr>
              <w:t xml:space="preserve"> </w:t>
            </w:r>
            <w:r w:rsidRPr="00D90DD4">
              <w:rPr>
                <w:i/>
                <w:color w:val="767171" w:themeColor="background2" w:themeShade="80"/>
                <w:sz w:val="20"/>
                <w:szCs w:val="20"/>
              </w:rPr>
              <w:t xml:space="preserve">Smalley KS, Curr Opin Investig Drugs. 2010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1">
              <w:r>
                <w:rPr>
                  <w:sz w:val="20"/>
                  <w:rStyle w:val="Hyperlink"/>
                </w:rPr>
                <w:t xml:space="preserve">21639808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Improved survival with vemurafenib in melanoma with BRAF V600E mutation.</w:t>
            </w:r>
            <w:r>
              <w:rPr>
                <w:color w:val="404040" w:themeColor="text1" w:themeTint="BF"/>
                <w:sz w:val="20"/>
                <w:szCs w:val="20"/>
              </w:rPr>
              <w:t xml:space="preserve"> </w:t>
            </w:r>
            <w:r w:rsidRPr="00D90DD4">
              <w:rPr>
                <w:i/>
                <w:color w:val="767171" w:themeColor="background2" w:themeShade="80"/>
                <w:sz w:val="20"/>
                <w:szCs w:val="20"/>
              </w:rPr>
              <w:t xml:space="preserve">Chapman PB et al., N Engl J Med. 2011 Jun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2">
              <w:r>
                <w:rPr>
                  <w:sz w:val="20"/>
                  <w:rStyle w:val="Hyperlink"/>
                </w:rPr>
                <w:t xml:space="preserve">20818844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Inhibition of mutated, activated BRAF in metastatic melanoma.</w:t>
            </w:r>
            <w:r>
              <w:rPr>
                <w:color w:val="404040" w:themeColor="text1" w:themeTint="BF"/>
                <w:sz w:val="20"/>
                <w:szCs w:val="20"/>
              </w:rPr>
              <w:t xml:space="preserve"> </w:t>
            </w:r>
            <w:r w:rsidRPr="00D90DD4">
              <w:rPr>
                <w:i/>
                <w:color w:val="767171" w:themeColor="background2" w:themeShade="80"/>
                <w:sz w:val="20"/>
                <w:szCs w:val="20"/>
              </w:rPr>
              <w:t xml:space="preserve">Flaherty KT et al., N Engl J Med. 2010 Aug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3">
              <w:r>
                <w:rPr>
                  <w:sz w:val="20"/>
                  <w:rStyle w:val="Hyperlink"/>
                </w:rPr>
                <w:t xml:space="preserve">22608338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in patients with melanoma, untreated brain metastases, and other solid tumours: a phase 1 dose-escalation trial.</w:t>
            </w:r>
            <w:r>
              <w:rPr>
                <w:color w:val="404040" w:themeColor="text1" w:themeTint="BF"/>
                <w:sz w:val="20"/>
                <w:szCs w:val="20"/>
              </w:rPr>
              <w:t xml:space="preserve"> </w:t>
            </w:r>
            <w:r w:rsidRPr="00D90DD4">
              <w:rPr>
                <w:i/>
                <w:color w:val="767171" w:themeColor="background2" w:themeShade="80"/>
                <w:sz w:val="20"/>
                <w:szCs w:val="20"/>
              </w:rPr>
              <w:t xml:space="preserve">Falchook GS et al., Lancet. 2012 May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4">
              <w:r>
                <w:rPr>
                  <w:sz w:val="20"/>
                  <w:rStyle w:val="Hyperlink"/>
                </w:rPr>
                <w:t xml:space="preserve">23918947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II trial (BREAK-2) of the BRAF inhibitor dabrafenib (GSK2118436) in patients with metastatic melanoma.</w:t>
            </w:r>
            <w:r>
              <w:rPr>
                <w:color w:val="404040" w:themeColor="text1" w:themeTint="BF"/>
                <w:sz w:val="20"/>
                <w:szCs w:val="20"/>
              </w:rPr>
              <w:t xml:space="preserve"> </w:t>
            </w:r>
            <w:r w:rsidRPr="00D90DD4">
              <w:rPr>
                <w:i/>
                <w:color w:val="767171" w:themeColor="background2" w:themeShade="80"/>
                <w:sz w:val="20"/>
                <w:szCs w:val="20"/>
              </w:rPr>
              <w:t xml:space="preserve">Ascierto PA et al., J Clin Oncol. 2013 Sep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5">
              <w:r>
                <w:rPr>
                  <w:sz w:val="20"/>
                  <w:rStyle w:val="Hyperlink"/>
                </w:rPr>
                <w:t xml:space="preserve">22889973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therapies: BREAKing a path for progress--dabrafenib confirms class effect.</w:t>
            </w:r>
            <w:r>
              <w:rPr>
                <w:color w:val="404040" w:themeColor="text1" w:themeTint="BF"/>
                <w:sz w:val="20"/>
                <w:szCs w:val="20"/>
              </w:rPr>
              <w:t xml:space="preserve"> </w:t>
            </w:r>
            <w:r w:rsidRPr="00D90DD4">
              <w:rPr>
                <w:i/>
                <w:color w:val="767171" w:themeColor="background2" w:themeShade="80"/>
                <w:sz w:val="20"/>
                <w:szCs w:val="20"/>
              </w:rPr>
              <w:t xml:space="preserve">Tawbi HA et al., Nat Rev Clin Oncol. 2012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6">
              <w:r>
                <w:rPr>
                  <w:sz w:val="20"/>
                  <w:rStyle w:val="Hyperlink"/>
                </w:rPr>
                <w:t xml:space="preserve">31715422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in the treatment of multiple malignancies harboring MEK1 mutations.</w:t>
            </w:r>
            <w:r>
              <w:rPr>
                <w:color w:val="404040" w:themeColor="text1" w:themeTint="BF"/>
                <w:sz w:val="20"/>
                <w:szCs w:val="20"/>
              </w:rPr>
              <w:t xml:space="preserve"> </w:t>
            </w:r>
            <w:r w:rsidRPr="00D90DD4">
              <w:rPr>
                <w:i/>
                <w:color w:val="767171" w:themeColor="background2" w:themeShade="80"/>
                <w:sz w:val="20"/>
                <w:szCs w:val="20"/>
              </w:rPr>
              <w:t xml:space="preserve">Lian T et al., Cancer Treat Rev. 2019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7">
              <w:r>
                <w:rPr>
                  <w:sz w:val="20"/>
                  <w:rStyle w:val="Hyperlink"/>
                </w:rPr>
                <w:t xml:space="preserve">22743296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patient with BRAF V600E lung adenocarcinoma responding to vemurafenib.</w:t>
            </w:r>
            <w:r>
              <w:rPr>
                <w:color w:val="404040" w:themeColor="text1" w:themeTint="BF"/>
                <w:sz w:val="20"/>
                <w:szCs w:val="20"/>
              </w:rPr>
              <w:t xml:space="preserve"> </w:t>
            </w:r>
            <w:r w:rsidRPr="00D90DD4">
              <w:rPr>
                <w:i/>
                <w:color w:val="767171" w:themeColor="background2" w:themeShade="80"/>
                <w:sz w:val="20"/>
                <w:szCs w:val="20"/>
              </w:rPr>
              <w:t xml:space="preserve">Gautschi O et al., J Thorac Oncol. 2012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8">
              <w:r>
                <w:rPr>
                  <w:sz w:val="20"/>
                  <w:rStyle w:val="Hyperlink"/>
                </w:rPr>
                <w:t xml:space="preserve">23733758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Dramatic response induced by vemurafenib in a BRAF V600E-mutated lung adenocarcinoma.</w:t>
            </w:r>
            <w:r>
              <w:rPr>
                <w:color w:val="404040" w:themeColor="text1" w:themeTint="BF"/>
                <w:sz w:val="20"/>
                <w:szCs w:val="20"/>
              </w:rPr>
              <w:t xml:space="preserve"> </w:t>
            </w:r>
            <w:r w:rsidRPr="00D90DD4">
              <w:rPr>
                <w:i/>
                <w:color w:val="767171" w:themeColor="background2" w:themeShade="80"/>
                <w:sz w:val="20"/>
                <w:szCs w:val="20"/>
              </w:rPr>
              <w:t xml:space="preserve">Peters S et al., J Clin Oncol. 2013 Jul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9">
              <w:r>
                <w:rPr>
                  <w:sz w:val="20"/>
                  <w:rStyle w:val="Hyperlink"/>
                </w:rPr>
                <w:t xml:space="preserve">24888229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V600E-mutated lung adenocarcinoma with metastases to the brain responding to treatment with vemurafenib.</w:t>
            </w:r>
            <w:r>
              <w:rPr>
                <w:color w:val="404040" w:themeColor="text1" w:themeTint="BF"/>
                <w:sz w:val="20"/>
                <w:szCs w:val="20"/>
              </w:rPr>
              <w:t xml:space="preserve"> </w:t>
            </w:r>
            <w:r w:rsidRPr="00D90DD4">
              <w:rPr>
                <w:i/>
                <w:color w:val="767171" w:themeColor="background2" w:themeShade="80"/>
                <w:sz w:val="20"/>
                <w:szCs w:val="20"/>
              </w:rPr>
              <w:t xml:space="preserve">Robinson SD et al., Lung Cancer. 2014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0">
              <w:r>
                <w:rPr>
                  <w:sz w:val="20"/>
                  <w:rStyle w:val="Hyperlink"/>
                </w:rPr>
                <w:t xml:space="preserve">25466451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Response to dabrafenib after progression on vemurafenib in a patient with advanced BRAF V600E-mutant bronchial adenocarcinoma.</w:t>
            </w:r>
            <w:r>
              <w:rPr>
                <w:color w:val="404040" w:themeColor="text1" w:themeTint="BF"/>
                <w:sz w:val="20"/>
                <w:szCs w:val="20"/>
              </w:rPr>
              <w:t xml:space="preserve"> </w:t>
            </w:r>
            <w:r w:rsidRPr="00D90DD4">
              <w:rPr>
                <w:i/>
                <w:color w:val="767171" w:themeColor="background2" w:themeShade="80"/>
                <w:sz w:val="20"/>
                <w:szCs w:val="20"/>
              </w:rPr>
              <w:t xml:space="preserve">Schmid S et al., Lung Cancer. 2015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1">
              <w:r>
                <w:rPr>
                  <w:sz w:val="20"/>
                  <w:rStyle w:val="Hyperlink"/>
                </w:rPr>
                <w:t xml:space="preserve">23524406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characterization of acquired resistance to the BRAF inhibitor dabrafenib in a patient with BRAF-mutant non-small-cell lung cancer.</w:t>
            </w:r>
            <w:r>
              <w:rPr>
                <w:color w:val="404040" w:themeColor="text1" w:themeTint="BF"/>
                <w:sz w:val="20"/>
                <w:szCs w:val="20"/>
              </w:rPr>
              <w:t xml:space="preserve"> </w:t>
            </w:r>
            <w:r w:rsidRPr="00D90DD4">
              <w:rPr>
                <w:i/>
                <w:color w:val="767171" w:themeColor="background2" w:themeShade="80"/>
                <w:sz w:val="20"/>
                <w:szCs w:val="20"/>
              </w:rPr>
              <w:t xml:space="preserve">Rudin CM et al., J Thorac Oncol. 2013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2">
              <w:r>
                <w:rPr>
                  <w:sz w:val="20"/>
                  <w:rStyle w:val="Hyperlink"/>
                </w:rPr>
                <w:t xml:space="preserve">27080216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in patients with BRAF(V600E)-positive advanced non-small-cell lung cancer: a single-arm, multicentre, open-label, phase 2 trial.</w:t>
            </w:r>
            <w:r>
              <w:rPr>
                <w:color w:val="404040" w:themeColor="text1" w:themeTint="BF"/>
                <w:sz w:val="20"/>
                <w:szCs w:val="20"/>
              </w:rPr>
              <w:t xml:space="preserve"> </w:t>
            </w:r>
            <w:r w:rsidRPr="00D90DD4">
              <w:rPr>
                <w:i/>
                <w:color w:val="767171" w:themeColor="background2" w:themeShade="80"/>
                <w:sz w:val="20"/>
                <w:szCs w:val="20"/>
              </w:rPr>
              <w:t xml:space="preserve">Planchard D et al., Lancet Oncol. 2016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3">
              <w:r>
                <w:rPr>
                  <w:sz w:val="20"/>
                  <w:rStyle w:val="Hyperlink"/>
                </w:rPr>
                <w:t xml:space="preserve">27283860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plus trametinib in patients with previously treated BRAF(V600E)-mutant metastatic non-small cell lung cancer: an open-label, multicentre phase 2 trial.</w:t>
            </w:r>
            <w:r>
              <w:rPr>
                <w:color w:val="404040" w:themeColor="text1" w:themeTint="BF"/>
                <w:sz w:val="20"/>
                <w:szCs w:val="20"/>
              </w:rPr>
              <w:t xml:space="preserve"> </w:t>
            </w:r>
            <w:r w:rsidRPr="00D90DD4">
              <w:rPr>
                <w:i/>
                <w:color w:val="767171" w:themeColor="background2" w:themeShade="80"/>
                <w:sz w:val="20"/>
                <w:szCs w:val="20"/>
              </w:rPr>
              <w:t xml:space="preserve">Planchard D et al., Lancet Oncol. 2016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4">
              <w:r>
                <w:rPr>
                  <w:sz w:val="20"/>
                  <w:rStyle w:val="Hyperlink"/>
                </w:rPr>
                <w:t xml:space="preserve">28919011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plus trametinib in patients with previously untreated BRAFV600E-mutant metastatic non-small-cell lung cancer: an open-label, phase 2 trial.</w:t>
            </w:r>
            <w:r>
              <w:rPr>
                <w:color w:val="404040" w:themeColor="text1" w:themeTint="BF"/>
                <w:sz w:val="20"/>
                <w:szCs w:val="20"/>
              </w:rPr>
              <w:t xml:space="preserve"> </w:t>
            </w:r>
            <w:r w:rsidRPr="00D90DD4">
              <w:rPr>
                <w:i/>
                <w:color w:val="767171" w:themeColor="background2" w:themeShade="80"/>
                <w:sz w:val="20"/>
                <w:szCs w:val="20"/>
              </w:rPr>
              <w:t xml:space="preserve">Planchard D et al., Lancet Oncol. 2017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5">
              <w:r>
                <w:rPr>
                  <w:sz w:val="20"/>
                  <w:rStyle w:val="Hyperlink"/>
                </w:rPr>
                <w:t xml:space="preserve">29356698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Development of encorafenib for BRAF-mutated advanced melanoma.</w:t>
            </w:r>
            <w:r>
              <w:rPr>
                <w:color w:val="404040" w:themeColor="text1" w:themeTint="BF"/>
                <w:sz w:val="20"/>
                <w:szCs w:val="20"/>
              </w:rPr>
              <w:t xml:space="preserve"> </w:t>
            </w:r>
            <w:r w:rsidRPr="00D90DD4">
              <w:rPr>
                <w:i/>
                <w:color w:val="767171" w:themeColor="background2" w:themeShade="80"/>
                <w:sz w:val="20"/>
                <w:szCs w:val="20"/>
              </w:rPr>
              <w:t xml:space="preserve">Koelblinger P et al., Curr Opin Oncol. 2018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6">
              <w:r>
                <w:rPr>
                  <w:sz w:val="20"/>
                  <w:rStyle w:val="Hyperlink"/>
                </w:rPr>
                <w:t xml:space="preserve">29573941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Encorafenib plus binimetinib versus vemurafenib or encorafenib in patients with BRAF-mutant melanoma (COLUMBUS):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Dummer R et al., Lancet Oncol. 2018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7">
              <w:r>
                <w:rPr>
                  <w:sz w:val="20"/>
                  <w:rStyle w:val="Hyperlink"/>
                </w:rPr>
                <w:t xml:space="preserve">28537004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MEK Inhibitors in the Treatment of Metastatic Melanoma and Solid Tumors.</w:t>
            </w:r>
            <w:r>
              <w:rPr>
                <w:color w:val="404040" w:themeColor="text1" w:themeTint="BF"/>
                <w:sz w:val="20"/>
                <w:szCs w:val="20"/>
              </w:rPr>
              <w:t xml:space="preserve"> </w:t>
            </w:r>
            <w:r w:rsidRPr="00D90DD4">
              <w:rPr>
                <w:i/>
                <w:color w:val="767171" w:themeColor="background2" w:themeShade="80"/>
                <w:sz w:val="20"/>
                <w:szCs w:val="20"/>
              </w:rPr>
              <w:t xml:space="preserve">Grimaldi AM et al., Am J Clin Dermatol. 2017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8">
              <w:r>
                <w:rPr>
                  <w:sz w:val="20"/>
                  <w:rStyle w:val="Hyperlink"/>
                </w:rPr>
                <w:t xml:space="preserve">30219628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in patients with BRAF-mutant melanoma receiving encorafenib plus binimetinib versus vemurafenib or encorafenib (COLUMBUS):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Dummer R et al., Lancet Oncol. 2018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9">
              <w:r>
                <w:rPr>
                  <w:sz w:val="20"/>
                  <w:rStyle w:val="Hyperlink"/>
                </w:rPr>
                <w:t xml:space="preserve">26433819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Comparison of dabrafenib and trametinib combination therapy with vemurafenib monotherapy on health-related quality of life in patients with unresectable or metastatic cutaneous BRAF Val600-mutation-positive melanoma (COMBI-v): results of a phase 3, open-label, randomised trial.</w:t>
            </w:r>
            <w:r>
              <w:rPr>
                <w:color w:val="404040" w:themeColor="text1" w:themeTint="BF"/>
                <w:sz w:val="20"/>
                <w:szCs w:val="20"/>
              </w:rPr>
              <w:t xml:space="preserve"> </w:t>
            </w:r>
            <w:r w:rsidRPr="00D90DD4">
              <w:rPr>
                <w:i/>
                <w:color w:val="767171" w:themeColor="background2" w:themeShade="80"/>
                <w:sz w:val="20"/>
                <w:szCs w:val="20"/>
              </w:rPr>
              <w:t xml:space="preserve">Grob JJ et al., Lancet Oncol. 2015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0">
              <w:r>
                <w:rPr>
                  <w:sz w:val="20"/>
                  <w:rStyle w:val="Hyperlink"/>
                </w:rPr>
                <w:t xml:space="preserve">31580757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Therapy in Advanced Melanoma With RareMutations.</w:t>
            </w:r>
            <w:r>
              <w:rPr>
                <w:color w:val="404040" w:themeColor="text1" w:themeTint="BF"/>
                <w:sz w:val="20"/>
                <w:szCs w:val="20"/>
              </w:rPr>
              <w:t xml:space="preserve"> </w:t>
            </w:r>
            <w:r w:rsidRPr="00D90DD4">
              <w:rPr>
                <w:i/>
                <w:color w:val="767171" w:themeColor="background2" w:themeShade="80"/>
                <w:sz w:val="20"/>
                <w:szCs w:val="20"/>
              </w:rPr>
              <w:t xml:space="preserve">Menzer C et al., J Clin Oncol. 2019 Nov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1">
              <w:r>
                <w:rPr>
                  <w:sz w:val="20"/>
                  <w:rStyle w:val="Hyperlink"/>
                </w:rPr>
                <w:t xml:space="preserve">32388065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mechanisms of resistance to BRAF and MEK inhibitors in BRAFnon-small cell lung cancer.</w:t>
            </w:r>
            <w:r>
              <w:rPr>
                <w:color w:val="404040" w:themeColor="text1" w:themeTint="BF"/>
                <w:sz w:val="20"/>
                <w:szCs w:val="20"/>
              </w:rPr>
              <w:t xml:space="preserve"> </w:t>
            </w:r>
            <w:r w:rsidRPr="00D90DD4">
              <w:rPr>
                <w:i/>
                <w:color w:val="767171" w:themeColor="background2" w:themeShade="80"/>
                <w:sz w:val="20"/>
                <w:szCs w:val="20"/>
              </w:rPr>
              <w:t xml:space="preserve">Facchinetti F et al., Eur J Cancer. 2020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2">
              <w:r>
                <w:rPr>
                  <w:sz w:val="20"/>
                  <w:rStyle w:val="Hyperlink"/>
                </w:rPr>
                <w:t xml:space="preserve">18259690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epidermal growth factor receptor family: biology driving targeted therapeutics.</w:t>
            </w:r>
            <w:r>
              <w:rPr>
                <w:color w:val="404040" w:themeColor="text1" w:themeTint="BF"/>
                <w:sz w:val="20"/>
                <w:szCs w:val="20"/>
              </w:rPr>
              <w:t xml:space="preserve"> </w:t>
            </w:r>
            <w:r w:rsidRPr="00D90DD4">
              <w:rPr>
                <w:i/>
                <w:color w:val="767171" w:themeColor="background2" w:themeShade="80"/>
                <w:sz w:val="20"/>
                <w:szCs w:val="20"/>
              </w:rPr>
              <w:t xml:space="preserve">Wieduwilt MJ et al., Cell Mol Life Sci. 2008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3">
              <w:r>
                <w:rPr>
                  <w:sz w:val="20"/>
                  <w:rStyle w:val="Hyperlink"/>
                </w:rPr>
                <w:t xml:space="preserve">9130710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ErbB-2, the preferred heterodimerization partner of all ErbB receptors, is a mediator of lateral signaling.</w:t>
            </w:r>
            <w:r>
              <w:rPr>
                <w:color w:val="404040" w:themeColor="text1" w:themeTint="BF"/>
                <w:sz w:val="20"/>
                <w:szCs w:val="20"/>
              </w:rPr>
              <w:t xml:space="preserve"> </w:t>
            </w:r>
            <w:r w:rsidRPr="00D90DD4">
              <w:rPr>
                <w:i/>
                <w:color w:val="767171" w:themeColor="background2" w:themeShade="80"/>
                <w:sz w:val="20"/>
                <w:szCs w:val="20"/>
              </w:rPr>
              <w:t xml:space="preserve">Graus-Porta D et al., EMBO J. 1997 Apr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4">
              <w:r>
                <w:rPr>
                  <w:sz w:val="20"/>
                  <w:rStyle w:val="Hyperlink"/>
                </w:rPr>
                <w:t xml:space="preserve">12620236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crystal structure of a truncated ErbB2 ectodomain reveals an active conformation, poised to interact with other ErbB receptors.</w:t>
            </w:r>
            <w:r>
              <w:rPr>
                <w:color w:val="404040" w:themeColor="text1" w:themeTint="BF"/>
                <w:sz w:val="20"/>
                <w:szCs w:val="20"/>
              </w:rPr>
              <w:t xml:space="preserve"> </w:t>
            </w:r>
            <w:r w:rsidRPr="00D90DD4">
              <w:rPr>
                <w:i/>
                <w:color w:val="767171" w:themeColor="background2" w:themeShade="80"/>
                <w:sz w:val="20"/>
                <w:szCs w:val="20"/>
              </w:rPr>
              <w:t xml:space="preserve">Garrett TP et al., Mol Cell. 2003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5">
              <w:r>
                <w:rPr>
                  <w:sz w:val="20"/>
                  <w:rStyle w:val="Hyperlink"/>
                </w:rPr>
                <w:t xml:space="preserve">11252954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Untangling the ErbB signalling network.</w:t>
            </w:r>
            <w:r>
              <w:rPr>
                <w:color w:val="404040" w:themeColor="text1" w:themeTint="BF"/>
                <w:sz w:val="20"/>
                <w:szCs w:val="20"/>
              </w:rPr>
              <w:t xml:space="preserve"> </w:t>
            </w:r>
            <w:r w:rsidRPr="00D90DD4">
              <w:rPr>
                <w:i/>
                <w:color w:val="767171" w:themeColor="background2" w:themeShade="80"/>
                <w:sz w:val="20"/>
                <w:szCs w:val="20"/>
              </w:rPr>
              <w:t xml:space="preserve">Yarden Y et al., Nat Rev Mol Cell Biol. 2001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6">
              <w:r>
                <w:rPr>
                  <w:sz w:val="20"/>
                  <w:rStyle w:val="Hyperlink"/>
                </w:rPr>
                <w:t xml:space="preserve">17000658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epidermal growth factor receptor pathway: a model for targeted therapy.</w:t>
            </w:r>
            <w:r>
              <w:rPr>
                <w:color w:val="404040" w:themeColor="text1" w:themeTint="BF"/>
                <w:sz w:val="20"/>
                <w:szCs w:val="20"/>
              </w:rPr>
              <w:t xml:space="preserve"> </w:t>
            </w:r>
            <w:r w:rsidRPr="00D90DD4">
              <w:rPr>
                <w:i/>
                <w:color w:val="767171" w:themeColor="background2" w:themeShade="80"/>
                <w:sz w:val="20"/>
                <w:szCs w:val="20"/>
              </w:rPr>
              <w:t xml:space="preserve">Scaltriti M et al., Clin Cancer Res. 2006 Sep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7">
              <w:r>
                <w:rPr>
                  <w:sz w:val="20"/>
                  <w:rStyle w:val="Hyperlink"/>
                </w:rPr>
                <w:t xml:space="preserve">27158780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Distinct patterns of somatic genome alterations in lung adenocarcinomas and squamous cell carcinomas.</w:t>
            </w:r>
            <w:r>
              <w:rPr>
                <w:color w:val="404040" w:themeColor="text1" w:themeTint="BF"/>
                <w:sz w:val="20"/>
                <w:szCs w:val="20"/>
              </w:rPr>
              <w:t xml:space="preserve"> </w:t>
            </w:r>
            <w:r w:rsidRPr="00D90DD4">
              <w:rPr>
                <w:i/>
                <w:color w:val="767171" w:themeColor="background2" w:themeShade="80"/>
                <w:sz w:val="20"/>
                <w:szCs w:val="20"/>
              </w:rPr>
              <w:t xml:space="preserve">Campbell JD et al., Nat Genet. 2016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8">
              <w:r>
                <w:rPr>
                  <w:sz w:val="20"/>
                  <w:rStyle w:val="Hyperlink"/>
                </w:rPr>
                <w:t xml:space="preserve">29337640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Determinants of Response to Anti-Programmed Cell Death (PD)-1 and Anti-Programmed Death-Ligand 1 (PD-L1) Blockade in Patients With Non-Small-Cell Lung Cancer Profiled With Targeted Next-Generation Sequencing.</w:t>
            </w:r>
            <w:r>
              <w:rPr>
                <w:color w:val="404040" w:themeColor="text1" w:themeTint="BF"/>
                <w:sz w:val="20"/>
                <w:szCs w:val="20"/>
              </w:rPr>
              <w:t xml:space="preserve"> </w:t>
            </w:r>
            <w:r w:rsidRPr="00D90DD4">
              <w:rPr>
                <w:i/>
                <w:color w:val="767171" w:themeColor="background2" w:themeShade="80"/>
                <w:sz w:val="20"/>
                <w:szCs w:val="20"/>
              </w:rPr>
              <w:t xml:space="preserve">Rizvi H et al., J Clin Oncol. 2018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9">
              <w:r>
                <w:rPr>
                  <w:sz w:val="20"/>
                  <w:rStyle w:val="Hyperlink"/>
                </w:rPr>
                <w:t xml:space="preserve">25079552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Comprehensive molecular profiling of lung adenocarcinoma.</w:t>
            </w:r>
            <w:r>
              <w:rPr>
                <w:color w:val="404040" w:themeColor="text1" w:themeTint="BF"/>
                <w:sz w:val="20"/>
                <w:szCs w:val="20"/>
              </w:rPr>
              <w:t xml:space="preserve"> </w:t>
            </w:r>
            <w:r w:rsidRPr="00D90DD4">
              <w:rPr>
                <w:i/>
                <w:color w:val="767171" w:themeColor="background2" w:themeShade="80"/>
                <w:sz w:val="20"/>
                <w:szCs w:val="20"/>
              </w:rPr>
              <w:t xml:space="preserve">Cancer Genome Atlas Research Network, Nature. 2014 Jul 31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0">
              <w:r>
                <w:rPr>
                  <w:sz w:val="20"/>
                  <w:rStyle w:val="Hyperlink"/>
                </w:rPr>
                <w:t xml:space="preserve">28336552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Prospective Comprehensive Molecular Characterization of Lung Adenocarcinomas for Efficient Patient Matching to Approved and Emerging Therapies.</w:t>
            </w:r>
            <w:r>
              <w:rPr>
                <w:color w:val="404040" w:themeColor="text1" w:themeTint="BF"/>
                <w:sz w:val="20"/>
                <w:szCs w:val="20"/>
              </w:rPr>
              <w:t xml:space="preserve"> </w:t>
            </w:r>
            <w:r w:rsidRPr="00D90DD4">
              <w:rPr>
                <w:i/>
                <w:color w:val="767171" w:themeColor="background2" w:themeShade="80"/>
                <w:sz w:val="20"/>
                <w:szCs w:val="20"/>
              </w:rPr>
              <w:t xml:space="preserve">Jordan EJ et al., Cancer Discov. 2017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1">
              <w:r>
                <w:rPr>
                  <w:sz w:val="20"/>
                  <w:rStyle w:val="Hyperlink"/>
                </w:rPr>
                <w:t xml:space="preserve">32109716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Novel drugs targeting EGFR and HER2 exon 20 mutations in metastatic NSCLC.</w:t>
            </w:r>
            <w:r>
              <w:rPr>
                <w:color w:val="404040" w:themeColor="text1" w:themeTint="BF"/>
                <w:sz w:val="20"/>
                <w:szCs w:val="20"/>
              </w:rPr>
              <w:t xml:space="preserve"> </w:t>
            </w:r>
            <w:r w:rsidRPr="00D90DD4">
              <w:rPr>
                <w:i/>
                <w:color w:val="767171" w:themeColor="background2" w:themeShade="80"/>
                <w:sz w:val="20"/>
                <w:szCs w:val="20"/>
              </w:rPr>
              <w:t xml:space="preserve">Baraibar I et al., Crit Rev Oncol Hematol. 2020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2">
              <w:r>
                <w:rPr>
                  <w:sz w:val="20"/>
                  <w:rStyle w:val="Hyperlink"/>
                </w:rPr>
                <w:t xml:space="preserve">34561632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and HER2 exon 20 insertions in solid tumours: from biology to treatment.</w:t>
            </w:r>
            <w:r>
              <w:rPr>
                <w:color w:val="404040" w:themeColor="text1" w:themeTint="BF"/>
                <w:sz w:val="20"/>
                <w:szCs w:val="20"/>
              </w:rPr>
              <w:t xml:space="preserve"> </w:t>
            </w:r>
            <w:r w:rsidRPr="00D90DD4">
              <w:rPr>
                <w:i/>
                <w:color w:val="767171" w:themeColor="background2" w:themeShade="80"/>
                <w:sz w:val="20"/>
                <w:szCs w:val="20"/>
              </w:rPr>
              <w:t xml:space="preserve">Friedlaender A et al., Nat Rev Clin Oncol. 2022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3">
              <w:r>
                <w:rPr>
                  <w:sz w:val="20"/>
                  <w:rStyle w:val="Hyperlink"/>
                </w:rPr>
                <w:t xml:space="preserve">15457249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Lung cancer: intragenic ERBB2 kinase mutations in tumours.</w:t>
            </w:r>
            <w:r>
              <w:rPr>
                <w:color w:val="404040" w:themeColor="text1" w:themeTint="BF"/>
                <w:sz w:val="20"/>
                <w:szCs w:val="20"/>
              </w:rPr>
              <w:t xml:space="preserve"> </w:t>
            </w:r>
            <w:r w:rsidRPr="00D90DD4">
              <w:rPr>
                <w:i/>
                <w:color w:val="767171" w:themeColor="background2" w:themeShade="80"/>
                <w:sz w:val="20"/>
                <w:szCs w:val="20"/>
              </w:rPr>
              <w:t xml:space="preserve">Stephens P et al., Nature. 2004 Sep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4">
              <w:r>
                <w:rPr>
                  <w:sz w:val="20"/>
                  <w:rStyle w:val="Hyperlink"/>
                </w:rPr>
                <w:t xml:space="preserve">23610105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Lung cancer that harbors an HER2 mutation: epidemiologic characteristics and therapeutic perspectives.</w:t>
            </w:r>
            <w:r>
              <w:rPr>
                <w:color w:val="404040" w:themeColor="text1" w:themeTint="BF"/>
                <w:sz w:val="20"/>
                <w:szCs w:val="20"/>
              </w:rPr>
              <w:t xml:space="preserve"> </w:t>
            </w:r>
            <w:r w:rsidRPr="00D90DD4">
              <w:rPr>
                <w:i/>
                <w:color w:val="767171" w:themeColor="background2" w:themeShade="80"/>
                <w:sz w:val="20"/>
                <w:szCs w:val="20"/>
              </w:rPr>
              <w:t xml:space="preserve">Mazières J et al., J Clin Oncol. 2013 Jun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5">
              <w:r>
                <w:rPr>
                  <w:sz w:val="20"/>
                  <w:rStyle w:val="Hyperlink"/>
                </w:rPr>
                <w:t xml:space="preserve">22761469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Prevalence, clinicopathologic associations, and molecular spectrum of ERBB2 (HER2) tyrosine kinase mutations in lung adenocarcinomas.</w:t>
            </w:r>
            <w:r>
              <w:rPr>
                <w:color w:val="404040" w:themeColor="text1" w:themeTint="BF"/>
                <w:sz w:val="20"/>
                <w:szCs w:val="20"/>
              </w:rPr>
              <w:t xml:space="preserve"> </w:t>
            </w:r>
            <w:r w:rsidRPr="00D90DD4">
              <w:rPr>
                <w:i/>
                <w:color w:val="767171" w:themeColor="background2" w:themeShade="80"/>
                <w:sz w:val="20"/>
                <w:szCs w:val="20"/>
              </w:rPr>
              <w:t xml:space="preserve">Arcila ME et al., Clin Cancer Res. 2012 Sep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6">
              <w:r>
                <w:rPr>
                  <w:sz w:val="20"/>
                  <w:rStyle w:val="Hyperlink"/>
                </w:rPr>
                <w:t xml:space="preserve">28743157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mutations in lung adenocarcinomas: A report from the Lung Cancer Mutation Consortium.</w:t>
            </w:r>
            <w:r>
              <w:rPr>
                <w:color w:val="404040" w:themeColor="text1" w:themeTint="BF"/>
                <w:sz w:val="20"/>
                <w:szCs w:val="20"/>
              </w:rPr>
              <w:t xml:space="preserve"> </w:t>
            </w:r>
            <w:r w:rsidRPr="00D90DD4">
              <w:rPr>
                <w:i/>
                <w:color w:val="767171" w:themeColor="background2" w:themeShade="80"/>
                <w:sz w:val="20"/>
                <w:szCs w:val="20"/>
              </w:rPr>
              <w:t xml:space="preserve">Pillai RN et al., Cancer. 2017 Nov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7">
              <w:r>
                <w:rPr>
                  <w:sz w:val="20"/>
                  <w:rStyle w:val="Hyperlink"/>
                </w:rPr>
                <w:t xml:space="preserve">31469421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Frequency and outcomes of brain metastases in patients with HER2-mutant lung cancers.</w:t>
            </w:r>
            <w:r>
              <w:rPr>
                <w:color w:val="404040" w:themeColor="text1" w:themeTint="BF"/>
                <w:sz w:val="20"/>
                <w:szCs w:val="20"/>
              </w:rPr>
              <w:t xml:space="preserve"> </w:t>
            </w:r>
            <w:r w:rsidRPr="00D90DD4">
              <w:rPr>
                <w:i/>
                <w:color w:val="767171" w:themeColor="background2" w:themeShade="80"/>
                <w:sz w:val="20"/>
                <w:szCs w:val="20"/>
              </w:rPr>
              <w:t xml:space="preserve">Offin M et al., Cancer. 2019 12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8">
              <w:r>
                <w:rPr>
                  <w:sz w:val="20"/>
                  <w:rStyle w:val="Hyperlink"/>
                </w:rPr>
                <w:t xml:space="preserve">31563805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Novel HER2-Targeting Antibody-Drug Conjugates of Trastuzumab Beyond T-DM1 in Breast Cancer: Trastuzumab Deruxtecan(DS-8201a) and (Vic-)Trastuzumab Duocarmazine (SYD985).</w:t>
            </w:r>
            <w:r>
              <w:rPr>
                <w:color w:val="404040" w:themeColor="text1" w:themeTint="BF"/>
                <w:sz w:val="20"/>
                <w:szCs w:val="20"/>
              </w:rPr>
              <w:t xml:space="preserve"> </w:t>
            </w:r>
            <w:r w:rsidRPr="00D90DD4">
              <w:rPr>
                <w:i/>
                <w:color w:val="767171" w:themeColor="background2" w:themeShade="80"/>
                <w:sz w:val="20"/>
                <w:szCs w:val="20"/>
              </w:rPr>
              <w:t xml:space="preserve">Xu Z et al., Eur J Med Chem. 2019 Dec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9">
              <w:r>
                <w:rPr>
                  <w:sz w:val="20"/>
                  <w:rStyle w:val="Hyperlink"/>
                </w:rPr>
                <w:t xml:space="preserve">35984233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Gives Nod to T-DXd for HER2-Mutant NSCLC.</w:t>
            </w:r>
            <w:r>
              <w:rPr>
                <w:color w:val="404040" w:themeColor="text1" w:themeTint="BF"/>
                <w:sz w:val="20"/>
                <w:szCs w:val="20"/>
              </w:rPr>
              <w:t xml:space="preserve"> </w:t>
            </w:r>
            <w:r w:rsidRPr="00D90DD4">
              <w:rPr>
                <w:i/>
                <w:color w:val="767171" w:themeColor="background2" w:themeShade="80"/>
                <w:sz w:val="20"/>
                <w:szCs w:val="20"/>
              </w:rPr>
              <w:t xml:space="preserve">, Cancer Discov. 2022 Oct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0">
              <w:r>
                <w:rPr>
                  <w:sz w:val="20"/>
                  <w:rStyle w:val="Hyperlink"/>
                </w:rPr>
                <w:t xml:space="preserve">34534430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Deruxtecan in HER2-Mutant Non-Small-Cell Lung Cancer.</w:t>
            </w:r>
            <w:r>
              <w:rPr>
                <w:color w:val="404040" w:themeColor="text1" w:themeTint="BF"/>
                <w:sz w:val="20"/>
                <w:szCs w:val="20"/>
              </w:rPr>
              <w:t xml:space="preserve"> </w:t>
            </w:r>
            <w:r w:rsidRPr="00D90DD4">
              <w:rPr>
                <w:i/>
                <w:color w:val="767171" w:themeColor="background2" w:themeShade="80"/>
                <w:sz w:val="20"/>
                <w:szCs w:val="20"/>
              </w:rPr>
              <w:t xml:space="preserve">Li BT et al., N Engl J Med. 2022 Jan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1">
              <w:r>
                <w:rPr>
                  <w:sz w:val="20"/>
                  <w:rStyle w:val="Hyperlink"/>
                </w:rPr>
                <w:t xml:space="preserve">24887180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emtansine: mechanisms of action and drug resistance.</w:t>
            </w:r>
            <w:r>
              <w:rPr>
                <w:color w:val="404040" w:themeColor="text1" w:themeTint="BF"/>
                <w:sz w:val="20"/>
                <w:szCs w:val="20"/>
              </w:rPr>
              <w:t xml:space="preserve"> </w:t>
            </w:r>
            <w:r w:rsidRPr="00D90DD4">
              <w:rPr>
                <w:i/>
                <w:color w:val="767171" w:themeColor="background2" w:themeShade="80"/>
                <w:sz w:val="20"/>
                <w:szCs w:val="20"/>
              </w:rPr>
              <w:t xml:space="preserve">Barok M et al., Breast Cancer Res. 2014 Mar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2">
              <w:r>
                <w:rPr>
                  <w:sz w:val="20"/>
                  <w:rStyle w:val="Hyperlink"/>
                </w:rPr>
                <w:t xml:space="preserve">25082874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Ado-trastuzumab emtansine: a HER2-positive targeted antibody-drug conjugate.</w:t>
            </w:r>
            <w:r>
              <w:rPr>
                <w:color w:val="404040" w:themeColor="text1" w:themeTint="BF"/>
                <w:sz w:val="20"/>
                <w:szCs w:val="20"/>
              </w:rPr>
              <w:t xml:space="preserve"> </w:t>
            </w:r>
            <w:r w:rsidRPr="00D90DD4">
              <w:rPr>
                <w:i/>
                <w:color w:val="767171" w:themeColor="background2" w:themeShade="80"/>
                <w:sz w:val="20"/>
                <w:szCs w:val="20"/>
              </w:rPr>
              <w:t xml:space="preserve">Corrigan PA et al., Ann Pharmacother. 2014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3">
              <w:r>
                <w:rPr>
                  <w:sz w:val="20"/>
                  <w:rStyle w:val="Hyperlink"/>
                </w:rPr>
                <w:t xml:space="preserve">29989854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Ado-Trastuzumab Emtansine for Patients With HER2-Mutant Lung Cancers: Results From a Phase II Basket Trial.</w:t>
            </w:r>
            <w:r>
              <w:rPr>
                <w:color w:val="404040" w:themeColor="text1" w:themeTint="BF"/>
                <w:sz w:val="20"/>
                <w:szCs w:val="20"/>
              </w:rPr>
              <w:t xml:space="preserve"> </w:t>
            </w:r>
            <w:r w:rsidRPr="00D90DD4">
              <w:rPr>
                <w:i/>
                <w:color w:val="767171" w:themeColor="background2" w:themeShade="80"/>
                <w:sz w:val="20"/>
                <w:szCs w:val="20"/>
              </w:rPr>
              <w:t xml:space="preserve">Li BT et al., J Clin Oncol. 2018 Aug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4">
              <w:r>
                <w:rPr>
                  <w:sz w:val="20"/>
                  <w:rStyle w:val="Hyperlink"/>
                </w:rPr>
                <w:t xml:space="preserve">36175985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HER2-targeted advanced metastatic gastric/gastroesophageal junction adenocarcinoma: treatment landscape and future perspectives.</w:t>
            </w:r>
            <w:r>
              <w:rPr>
                <w:color w:val="404040" w:themeColor="text1" w:themeTint="BF"/>
                <w:sz w:val="20"/>
                <w:szCs w:val="20"/>
              </w:rPr>
              <w:t xml:space="preserve"> </w:t>
            </w:r>
            <w:r w:rsidRPr="00D90DD4">
              <w:rPr>
                <w:i/>
                <w:color w:val="767171" w:themeColor="background2" w:themeShade="80"/>
                <w:sz w:val="20"/>
                <w:szCs w:val="20"/>
              </w:rPr>
              <w:t xml:space="preserve">Li W et al., Biomark Res. 2022 Sep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5">
              <w:r>
                <w:rPr>
                  <w:sz w:val="20"/>
                  <w:rStyle w:val="Hyperlink"/>
                </w:rPr>
                <w:t xml:space="preserve">20728210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in combination with chemotherapy versus chemotherapy alone for treatment of HER2-positive advanced gastric or gastro-oesophageal junction cancer (ToGA): a phase 3, open-label, randomised controlled trial.</w:t>
            </w:r>
            <w:r>
              <w:rPr>
                <w:color w:val="404040" w:themeColor="text1" w:themeTint="BF"/>
                <w:sz w:val="20"/>
                <w:szCs w:val="20"/>
              </w:rPr>
              <w:t xml:space="preserve"> </w:t>
            </w:r>
            <w:r w:rsidRPr="00D90DD4">
              <w:rPr>
                <w:i/>
                <w:color w:val="767171" w:themeColor="background2" w:themeShade="80"/>
                <w:sz w:val="20"/>
                <w:szCs w:val="20"/>
              </w:rPr>
              <w:t xml:space="preserve">Bang YJ et al., Lancet. 2010 Aug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6">
              <w:r>
                <w:rPr>
                  <w:sz w:val="20"/>
                  <w:rStyle w:val="Hyperlink"/>
                </w:rPr>
                <w:t xml:space="preserve">36229267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Targeting HER2 in metastatic gastroesophageal adenocarcinomas: What is new?</w:t>
            </w:r>
            <w:r>
              <w:rPr>
                <w:color w:val="404040" w:themeColor="text1" w:themeTint="BF"/>
                <w:sz w:val="20"/>
                <w:szCs w:val="20"/>
              </w:rPr>
              <w:t xml:space="preserve"> </w:t>
            </w:r>
            <w:r w:rsidRPr="00D90DD4">
              <w:rPr>
                <w:i/>
                <w:color w:val="767171" w:themeColor="background2" w:themeShade="80"/>
                <w:sz w:val="20"/>
                <w:szCs w:val="20"/>
              </w:rPr>
              <w:t xml:space="preserve">Coutzac C et al., Bull Cancer. 2022 Oct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7">
              <w:r>
                <w:rPr>
                  <w:sz w:val="20"/>
                  <w:rStyle w:val="Hyperlink"/>
                </w:rPr>
                <w:t xml:space="preserve">34912120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KEYNOTE-811 trial of dual PD-1 and HER2 blockade in HER2-positive gastric cancer.</w:t>
            </w:r>
            <w:r>
              <w:rPr>
                <w:color w:val="404040" w:themeColor="text1" w:themeTint="BF"/>
                <w:sz w:val="20"/>
                <w:szCs w:val="20"/>
              </w:rPr>
              <w:t xml:space="preserve"> </w:t>
            </w:r>
            <w:r w:rsidRPr="00D90DD4">
              <w:rPr>
                <w:i/>
                <w:color w:val="767171" w:themeColor="background2" w:themeShade="80"/>
                <w:sz w:val="20"/>
                <w:szCs w:val="20"/>
              </w:rPr>
              <w:t xml:space="preserve">Janjigian YY et al., Nature. 2021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8">
              <w:r>
                <w:rPr>
                  <w:sz w:val="20"/>
                  <w:rStyle w:val="Hyperlink"/>
                </w:rPr>
                <w:t xml:space="preserve">32469182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Deruxtecan in Previously Treated HER2-Positive Gastric Cancer.</w:t>
            </w:r>
            <w:r>
              <w:rPr>
                <w:color w:val="404040" w:themeColor="text1" w:themeTint="BF"/>
                <w:sz w:val="20"/>
                <w:szCs w:val="20"/>
              </w:rPr>
              <w:t xml:space="preserve"> </w:t>
            </w:r>
            <w:r w:rsidRPr="00D90DD4">
              <w:rPr>
                <w:i/>
                <w:color w:val="767171" w:themeColor="background2" w:themeShade="80"/>
                <w:sz w:val="20"/>
                <w:szCs w:val="20"/>
              </w:rPr>
              <w:t xml:space="preserve">Shitara K et al., N Engl J Med. 2020 Jun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9">
              <w:r>
                <w:rPr>
                  <w:sz w:val="20"/>
                  <w:rStyle w:val="Hyperlink"/>
                </w:rPr>
                <w:t xml:space="preserve">16775247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mutation and response to trastuzumab therapy in non-small-cell lung cancer.</w:t>
            </w:r>
            <w:r>
              <w:rPr>
                <w:color w:val="404040" w:themeColor="text1" w:themeTint="BF"/>
                <w:sz w:val="20"/>
                <w:szCs w:val="20"/>
              </w:rPr>
              <w:t xml:space="preserve"> </w:t>
            </w:r>
            <w:r w:rsidRPr="00D90DD4">
              <w:rPr>
                <w:i/>
                <w:color w:val="767171" w:themeColor="background2" w:themeShade="80"/>
                <w:sz w:val="20"/>
                <w:szCs w:val="20"/>
              </w:rPr>
              <w:t xml:space="preserve">Cappuzzo F et al., N Engl J Med. 2006 Jun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0">
              <w:r>
                <w:rPr>
                  <w:sz w:val="20"/>
                  <w:rStyle w:val="Hyperlink"/>
                </w:rPr>
                <w:t xml:space="preserve">33125859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Challenges of Tumor Mutational Burden as an Immunotherapy Biomarker.</w:t>
            </w:r>
            <w:r>
              <w:rPr>
                <w:color w:val="404040" w:themeColor="text1" w:themeTint="BF"/>
                <w:sz w:val="20"/>
                <w:szCs w:val="20"/>
              </w:rPr>
              <w:t xml:space="preserve"> </w:t>
            </w:r>
            <w:r w:rsidRPr="00D90DD4">
              <w:rPr>
                <w:i/>
                <w:color w:val="767171" w:themeColor="background2" w:themeShade="80"/>
                <w:sz w:val="20"/>
                <w:szCs w:val="20"/>
              </w:rPr>
              <w:t xml:space="preserve">Jardim DL et al., Cancer Cell. 2021 02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1">
              <w:r>
                <w:rPr>
                  <w:sz w:val="20"/>
                  <w:rStyle w:val="Hyperlink"/>
                </w:rPr>
                <w:t xml:space="preserve">32919526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tumour mutational burden with outcomes in patients with advanced solid tumours treated with pembrolizumab: prospective biomarker analysis of the multicohort, open-label, phase 2 KEYNOTE-158 study.</w:t>
            </w:r>
            <w:r>
              <w:rPr>
                <w:color w:val="404040" w:themeColor="text1" w:themeTint="BF"/>
                <w:sz w:val="20"/>
                <w:szCs w:val="20"/>
              </w:rPr>
              <w:t xml:space="preserve"> </w:t>
            </w:r>
            <w:r w:rsidRPr="00D90DD4">
              <w:rPr>
                <w:i/>
                <w:color w:val="767171" w:themeColor="background2" w:themeShade="80"/>
                <w:sz w:val="20"/>
                <w:szCs w:val="20"/>
              </w:rPr>
              <w:t xml:space="preserve">Marabelle A et al., Lancet Oncol. 2020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2">
              <w:r>
                <w:rPr>
                  <w:sz w:val="20"/>
                  <w:rStyle w:val="Hyperlink"/>
                </w:rPr>
                <w:t xml:space="preserve">23636398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Integrated genomic characterization of endometrial carcinoma.</w:t>
            </w:r>
            <w:r>
              <w:rPr>
                <w:color w:val="404040" w:themeColor="text1" w:themeTint="BF"/>
                <w:sz w:val="20"/>
                <w:szCs w:val="20"/>
              </w:rPr>
              <w:t xml:space="preserve"> </w:t>
            </w:r>
            <w:r w:rsidRPr="00D90DD4">
              <w:rPr>
                <w:i/>
                <w:color w:val="767171" w:themeColor="background2" w:themeShade="80"/>
                <w:sz w:val="20"/>
                <w:szCs w:val="20"/>
              </w:rPr>
              <w:t xml:space="preserve">Cancer Genome Atlas Research Network et al., Nature. 2013 May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3">
              <w:r>
                <w:rPr>
                  <w:sz w:val="20"/>
                  <w:rStyle w:val="Hyperlink"/>
                </w:rPr>
                <w:t xml:space="preserve">26028255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PD-1 Blockade in Tumors with Mismatch-Repair Deficiency.</w:t>
            </w:r>
            <w:r>
              <w:rPr>
                <w:color w:val="404040" w:themeColor="text1" w:themeTint="BF"/>
                <w:sz w:val="20"/>
                <w:szCs w:val="20"/>
              </w:rPr>
              <w:t xml:space="preserve"> </w:t>
            </w:r>
            <w:r w:rsidRPr="00D90DD4">
              <w:rPr>
                <w:i/>
                <w:color w:val="767171" w:themeColor="background2" w:themeShade="80"/>
                <w:sz w:val="20"/>
                <w:szCs w:val="20"/>
              </w:rPr>
              <w:t xml:space="preserve">Le DT et al., N Engl J Med. 2015 Jun 25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4">
              <w:r>
                <w:rPr>
                  <w:sz w:val="20"/>
                  <w:rStyle w:val="Hyperlink"/>
                </w:rPr>
                <w:t xml:space="preserve">32213091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Immune Checkpoint Blockade Therapy in Endometrial Cancer.</w:t>
            </w:r>
            <w:r>
              <w:rPr>
                <w:color w:val="404040" w:themeColor="text1" w:themeTint="BF"/>
                <w:sz w:val="20"/>
                <w:szCs w:val="20"/>
              </w:rPr>
              <w:t xml:space="preserve"> </w:t>
            </w:r>
            <w:r w:rsidRPr="00D90DD4">
              <w:rPr>
                <w:i/>
                <w:color w:val="767171" w:themeColor="background2" w:themeShade="80"/>
                <w:sz w:val="20"/>
                <w:szCs w:val="20"/>
              </w:rPr>
              <w:t xml:space="preserve">Green AK et al., Am Soc Clin Oncol Educ Book. 2020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5">
              <w:r>
                <w:rPr>
                  <w:sz w:val="20"/>
                  <w:rStyle w:val="Hyperlink"/>
                </w:rPr>
                <w:t xml:space="preserve">26181000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Polymerase e-Mutated and Microsatellite-Instable Endometrial Cancers With Neoantigen Load, Number of Tumor-Infiltrating Lymphocytes, and Expression of PD-1 and PD-L1.</w:t>
            </w:r>
            <w:r>
              <w:rPr>
                <w:color w:val="404040" w:themeColor="text1" w:themeTint="BF"/>
                <w:sz w:val="20"/>
                <w:szCs w:val="20"/>
              </w:rPr>
              <w:t xml:space="preserve"> </w:t>
            </w:r>
            <w:r w:rsidRPr="00D90DD4">
              <w:rPr>
                <w:i/>
                <w:color w:val="767171" w:themeColor="background2" w:themeShade="80"/>
                <w:sz w:val="20"/>
                <w:szCs w:val="20"/>
              </w:rPr>
              <w:t xml:space="preserve">Howitt BE et al., JAMA Oncol. 2015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6">
              <w:r>
                <w:rPr>
                  <w:sz w:val="20"/>
                  <w:rStyle w:val="Hyperlink"/>
                </w:rPr>
                <w:t xml:space="preserve">19078925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Endometrial cancer and Lynch syndrome: clinical and pathologic considerations.</w:t>
            </w:r>
            <w:r>
              <w:rPr>
                <w:color w:val="404040" w:themeColor="text1" w:themeTint="BF"/>
                <w:sz w:val="20"/>
                <w:szCs w:val="20"/>
              </w:rPr>
              <w:t xml:space="preserve"> </w:t>
            </w:r>
            <w:r w:rsidRPr="00D90DD4">
              <w:rPr>
                <w:i/>
                <w:color w:val="767171" w:themeColor="background2" w:themeShade="80"/>
                <w:sz w:val="20"/>
                <w:szCs w:val="20"/>
              </w:rPr>
              <w:t xml:space="preserve">Meyer LA et al., Cancer Control. 2009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7">
              <w:r>
                <w:rPr>
                  <w:sz w:val="20"/>
                  <w:rStyle w:val="Hyperlink"/>
                </w:rPr>
                <w:t xml:space="preserve">25673086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Milestones of Lynch syndrome: 1895-2015.</w:t>
            </w:r>
            <w:r>
              <w:rPr>
                <w:color w:val="404040" w:themeColor="text1" w:themeTint="BF"/>
                <w:sz w:val="20"/>
                <w:szCs w:val="20"/>
              </w:rPr>
              <w:t xml:space="preserve"> </w:t>
            </w:r>
            <w:r w:rsidRPr="00D90DD4">
              <w:rPr>
                <w:i/>
                <w:color w:val="767171" w:themeColor="background2" w:themeShade="80"/>
                <w:sz w:val="20"/>
                <w:szCs w:val="20"/>
              </w:rPr>
              <w:t xml:space="preserve">Lynch HT et al., Nat Rev Cancer. 2015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8">
              <w:r>
                <w:rPr>
                  <w:sz w:val="20"/>
                  <w:rStyle w:val="Hyperlink"/>
                </w:rPr>
                <w:t xml:space="preserve">31956294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Microsatellite instability: a review of what the oncologist should know.</w:t>
            </w:r>
            <w:r>
              <w:rPr>
                <w:color w:val="404040" w:themeColor="text1" w:themeTint="BF"/>
                <w:sz w:val="20"/>
                <w:szCs w:val="20"/>
              </w:rPr>
              <w:t xml:space="preserve"> </w:t>
            </w:r>
            <w:r w:rsidRPr="00D90DD4">
              <w:rPr>
                <w:i/>
                <w:color w:val="767171" w:themeColor="background2" w:themeShade="80"/>
                <w:sz w:val="20"/>
                <w:szCs w:val="20"/>
              </w:rPr>
              <w:t xml:space="preserve">Li K et al., Cancer Cell Int.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9">
              <w:r>
                <w:rPr>
                  <w:sz w:val="20"/>
                  <w:rStyle w:val="Hyperlink"/>
                </w:rPr>
                <w:t xml:space="preserve">31618962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Microsatellite Instability: Diagnosis, Heterogeneity, Discordance, and Clinical Impact in Colorectal Cancer.</w:t>
            </w:r>
            <w:r>
              <w:rPr>
                <w:color w:val="404040" w:themeColor="text1" w:themeTint="BF"/>
                <w:sz w:val="20"/>
                <w:szCs w:val="20"/>
              </w:rPr>
              <w:t xml:space="preserve"> </w:t>
            </w:r>
            <w:r w:rsidRPr="00D90DD4">
              <w:rPr>
                <w:i/>
                <w:color w:val="767171" w:themeColor="background2" w:themeShade="80"/>
                <w:sz w:val="20"/>
                <w:szCs w:val="20"/>
              </w:rPr>
              <w:t xml:space="preserve">Evrard C et al., Cancers (Basel). 2019 Oct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0">
              <w:r>
                <w:rPr>
                  <w:sz w:val="20"/>
                  <w:rStyle w:val="Hyperlink"/>
                </w:rPr>
                <w:t xml:space="preserve">34630437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Lynch Syndrome and MSI-H Cancers: From Mechanisms to "Off-The-Shelf" Cancer Vaccines.</w:t>
            </w:r>
            <w:r>
              <w:rPr>
                <w:color w:val="404040" w:themeColor="text1" w:themeTint="BF"/>
                <w:sz w:val="20"/>
                <w:szCs w:val="20"/>
              </w:rPr>
              <w:t xml:space="preserve"> </w:t>
            </w:r>
            <w:r w:rsidRPr="00D90DD4">
              <w:rPr>
                <w:i/>
                <w:color w:val="767171" w:themeColor="background2" w:themeShade="80"/>
                <w:sz w:val="20"/>
                <w:szCs w:val="20"/>
              </w:rPr>
              <w:t xml:space="preserve">Roudko V et al., Front Immunol.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1">
              <w:r>
                <w:rPr>
                  <w:sz w:val="20"/>
                  <w:rStyle w:val="Hyperlink"/>
                </w:rPr>
                <w:t xml:space="preserve">30887763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Immunotherapy in endometrial cancer: new scenarios on the horizon.</w:t>
            </w:r>
            <w:r>
              <w:rPr>
                <w:color w:val="404040" w:themeColor="text1" w:themeTint="BF"/>
                <w:sz w:val="20"/>
                <w:szCs w:val="20"/>
              </w:rPr>
              <w:t xml:space="preserve"> </w:t>
            </w:r>
            <w:r w:rsidRPr="00D90DD4">
              <w:rPr>
                <w:i/>
                <w:color w:val="767171" w:themeColor="background2" w:themeShade="80"/>
                <w:sz w:val="20"/>
                <w:szCs w:val="20"/>
              </w:rPr>
              <w:t xml:space="preserve">Di Tucci C et al., J Gynecol Oncol. 2019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2">
              <w:r>
                <w:rPr>
                  <w:sz w:val="20"/>
                  <w:rStyle w:val="Hyperlink"/>
                </w:rPr>
                <w:t xml:space="preserve">30787022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for the Treatment of Microsatellite Instability-High Solid Tumors.</w:t>
            </w:r>
            <w:r>
              <w:rPr>
                <w:color w:val="404040" w:themeColor="text1" w:themeTint="BF"/>
                <w:sz w:val="20"/>
                <w:szCs w:val="20"/>
              </w:rPr>
              <w:t xml:space="preserve"> </w:t>
            </w:r>
            <w:r w:rsidRPr="00D90DD4">
              <w:rPr>
                <w:i/>
                <w:color w:val="767171" w:themeColor="background2" w:themeShade="80"/>
                <w:sz w:val="20"/>
                <w:szCs w:val="20"/>
              </w:rPr>
              <w:t xml:space="preserve">Marcus L et al., Clin Cancer Res. 2019 07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3">
              <w:r>
                <w:rPr>
                  <w:sz w:val="20"/>
                  <w:rStyle w:val="Hyperlink"/>
                </w:rPr>
                <w:t xml:space="preserve">28596308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Mismatch repair deficiency predicts response of solid tumors to PD-1 blockade.</w:t>
            </w:r>
            <w:r>
              <w:rPr>
                <w:color w:val="404040" w:themeColor="text1" w:themeTint="BF"/>
                <w:sz w:val="20"/>
                <w:szCs w:val="20"/>
              </w:rPr>
              <w:t xml:space="preserve"> </w:t>
            </w:r>
            <w:r w:rsidRPr="00D90DD4">
              <w:rPr>
                <w:i/>
                <w:color w:val="767171" w:themeColor="background2" w:themeShade="80"/>
                <w:sz w:val="20"/>
                <w:szCs w:val="20"/>
              </w:rPr>
              <w:t xml:space="preserve">Le DT et al., Science. 2017 07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4">
              <w:r>
                <w:rPr>
                  <w:sz w:val="20"/>
                  <w:rStyle w:val="Hyperlink"/>
                </w:rPr>
                <w:t xml:space="preserve">33516088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use and mechanisms of resistance for PARP inhibitors in homologous recombination-deficient cancers.</w:t>
            </w:r>
            <w:r>
              <w:rPr>
                <w:color w:val="404040" w:themeColor="text1" w:themeTint="BF"/>
                <w:sz w:val="20"/>
                <w:szCs w:val="20"/>
              </w:rPr>
              <w:t xml:space="preserve"> </w:t>
            </w:r>
            <w:r w:rsidRPr="00D90DD4">
              <w:rPr>
                <w:i/>
                <w:color w:val="767171" w:themeColor="background2" w:themeShade="80"/>
                <w:sz w:val="20"/>
                <w:szCs w:val="20"/>
              </w:rPr>
              <w:t xml:space="preserve">Janysek DC et al., Transl Oncol. 2021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5">
              <w:r>
                <w:rPr>
                  <w:sz w:val="20"/>
                  <w:rStyle w:val="Hyperlink"/>
                </w:rPr>
                <w:t xml:space="preserve">34423229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Utility of Homologous Recombination Deficiency Biomarkers Across Cancer Types.</w:t>
            </w:r>
            <w:r>
              <w:rPr>
                <w:color w:val="404040" w:themeColor="text1" w:themeTint="BF"/>
                <w:sz w:val="20"/>
                <w:szCs w:val="20"/>
              </w:rPr>
              <w:t xml:space="preserve"> </w:t>
            </w:r>
            <w:r w:rsidRPr="00D90DD4">
              <w:rPr>
                <w:i/>
                <w:color w:val="767171" w:themeColor="background2" w:themeShade="80"/>
                <w:sz w:val="20"/>
                <w:szCs w:val="20"/>
              </w:rPr>
              <w:t xml:space="preserve">Takamatsu S et al., JCO Precis Oncol. 2021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6">
              <w:r>
                <w:rPr>
                  <w:sz w:val="20"/>
                  <w:rStyle w:val="Hyperlink"/>
                </w:rPr>
                <w:t xml:space="preserve">35274707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Homologous Recombination Deficiency: Concepts, Definitions, and Assays.</w:t>
            </w:r>
            <w:r>
              <w:rPr>
                <w:color w:val="404040" w:themeColor="text1" w:themeTint="BF"/>
                <w:sz w:val="20"/>
                <w:szCs w:val="20"/>
              </w:rPr>
              <w:t xml:space="preserve"> </w:t>
            </w:r>
            <w:r w:rsidRPr="00D90DD4">
              <w:rPr>
                <w:i/>
                <w:color w:val="767171" w:themeColor="background2" w:themeShade="80"/>
                <w:sz w:val="20"/>
                <w:szCs w:val="20"/>
              </w:rPr>
              <w:t xml:space="preserve">Stewart MD et al., Oncologist. 2022 03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7">
              <w:r>
                <w:rPr>
                  <w:sz w:val="20"/>
                  <w:rStyle w:val="Hyperlink"/>
                </w:rPr>
                <w:t xml:space="preserve">33214570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Frequency and prognostic value of mutations associated with the homologous recombination DNA repair pathway in a large pan cancer cohort.</w:t>
            </w:r>
            <w:r>
              <w:rPr>
                <w:color w:val="404040" w:themeColor="text1" w:themeTint="BF"/>
                <w:sz w:val="20"/>
                <w:szCs w:val="20"/>
              </w:rPr>
              <w:t xml:space="preserve"> </w:t>
            </w:r>
            <w:r w:rsidRPr="00D90DD4">
              <w:rPr>
                <w:i/>
                <w:color w:val="767171" w:themeColor="background2" w:themeShade="80"/>
                <w:sz w:val="20"/>
                <w:szCs w:val="20"/>
              </w:rPr>
              <w:t xml:space="preserve">Principe DR et al., Sci Rep. 2020 11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8">
              <w:r>
                <w:rPr>
                  <w:sz w:val="20"/>
                  <w:rStyle w:val="Hyperlink"/>
                </w:rPr>
                <w:t xml:space="preserve">34740923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Pan-cancer Analysis of Homologous Recombination Repair-associated Gene Alterations and Genome-wide Loss-of-Heterozygosity Score.</w:t>
            </w:r>
            <w:r>
              <w:rPr>
                <w:color w:val="404040" w:themeColor="text1" w:themeTint="BF"/>
                <w:sz w:val="20"/>
                <w:szCs w:val="20"/>
              </w:rPr>
              <w:t xml:space="preserve"> </w:t>
            </w:r>
            <w:r w:rsidRPr="00D90DD4">
              <w:rPr>
                <w:i/>
                <w:color w:val="767171" w:themeColor="background2" w:themeShade="80"/>
                <w:sz w:val="20"/>
                <w:szCs w:val="20"/>
              </w:rPr>
              <w:t xml:space="preserve">Westphalen CB et al., Clin Cancer Res. 2022 04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9">
              <w:r>
                <w:rPr>
                  <w:sz w:val="20"/>
                  <w:rStyle w:val="Hyperlink"/>
                </w:rPr>
                <w:t xml:space="preserve">33149131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Pan-cancer landscape of homologous recombination deficiency.</w:t>
            </w:r>
            <w:r>
              <w:rPr>
                <w:color w:val="404040" w:themeColor="text1" w:themeTint="BF"/>
                <w:sz w:val="20"/>
                <w:szCs w:val="20"/>
              </w:rPr>
              <w:t xml:space="preserve"> </w:t>
            </w:r>
            <w:r w:rsidRPr="00D90DD4">
              <w:rPr>
                <w:i/>
                <w:color w:val="767171" w:themeColor="background2" w:themeShade="80"/>
                <w:sz w:val="20"/>
                <w:szCs w:val="20"/>
              </w:rPr>
              <w:t xml:space="preserve">Nguyen L et al., Nat Commun. 2020 11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0">
              <w:r>
                <w:rPr>
                  <w:sz w:val="20"/>
                  <w:rStyle w:val="Hyperlink"/>
                </w:rPr>
                <w:t xml:space="preserve">31362850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Defining and Modulating 'BRCAness'.</w:t>
            </w:r>
            <w:r>
              <w:rPr>
                <w:color w:val="404040" w:themeColor="text1" w:themeTint="BF"/>
                <w:sz w:val="20"/>
                <w:szCs w:val="20"/>
              </w:rPr>
              <w:t xml:space="preserve"> </w:t>
            </w:r>
            <w:r w:rsidRPr="00D90DD4">
              <w:rPr>
                <w:i/>
                <w:color w:val="767171" w:themeColor="background2" w:themeShade="80"/>
                <w:sz w:val="20"/>
                <w:szCs w:val="20"/>
              </w:rPr>
              <w:t xml:space="preserve">Byrum AK et al., Trends Cell Biol. 2019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1">
              <w:r>
                <w:rPr>
                  <w:sz w:val="20"/>
                  <w:rStyle w:val="Hyperlink"/>
                </w:rPr>
                <w:t xml:space="preserve">34021944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Homologous Recombination Deficiency: Cancer Predispositions and Treatment Implications.</w:t>
            </w:r>
            <w:r>
              <w:rPr>
                <w:color w:val="404040" w:themeColor="text1" w:themeTint="BF"/>
                <w:sz w:val="20"/>
                <w:szCs w:val="20"/>
              </w:rPr>
              <w:t xml:space="preserve"> </w:t>
            </w:r>
            <w:r w:rsidRPr="00D90DD4">
              <w:rPr>
                <w:i/>
                <w:color w:val="767171" w:themeColor="background2" w:themeShade="80"/>
                <w:sz w:val="20"/>
                <w:szCs w:val="20"/>
              </w:rPr>
              <w:t xml:space="preserve">Toh M et al., Oncologist. 2021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2">
              <w:r>
                <w:rPr>
                  <w:sz w:val="20"/>
                  <w:rStyle w:val="Hyperlink"/>
                </w:rPr>
                <w:t xml:space="preserve">33630412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Practical considerations for optimising homologous recombination repair mutation testing in patients with metastatic prostate cancer.</w:t>
            </w:r>
            <w:r>
              <w:rPr>
                <w:color w:val="404040" w:themeColor="text1" w:themeTint="BF"/>
                <w:sz w:val="20"/>
                <w:szCs w:val="20"/>
              </w:rPr>
              <w:t xml:space="preserve"> </w:t>
            </w:r>
            <w:r w:rsidRPr="00D90DD4">
              <w:rPr>
                <w:i/>
                <w:color w:val="767171" w:themeColor="background2" w:themeShade="80"/>
                <w:sz w:val="20"/>
                <w:szCs w:val="20"/>
              </w:rPr>
              <w:t xml:space="preserve">Gonzalez D et al., J Pathol Clin Res. 2021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3">
              <w:r>
                <w:rPr>
                  <w:sz w:val="20"/>
                  <w:rStyle w:val="Hyperlink"/>
                </w:rPr>
                <w:t xml:space="preserve">35228986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Poly Adenosine Diphosphate-Ribose Polymerase (PARP) Inhibitors in Pancreatic Cancer.</w:t>
            </w:r>
            <w:r>
              <w:rPr>
                <w:color w:val="404040" w:themeColor="text1" w:themeTint="BF"/>
                <w:sz w:val="20"/>
                <w:szCs w:val="20"/>
              </w:rPr>
              <w:t xml:space="preserve"> </w:t>
            </w:r>
            <w:r w:rsidRPr="00D90DD4">
              <w:rPr>
                <w:i/>
                <w:color w:val="767171" w:themeColor="background2" w:themeShade="80"/>
                <w:sz w:val="20"/>
                <w:szCs w:val="20"/>
              </w:rPr>
              <w:t xml:space="preserve">Sunkara T et al., Cureus. 2022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4">
              <w:r>
                <w:rPr>
                  <w:sz w:val="20"/>
                  <w:rStyle w:val="Hyperlink"/>
                </w:rPr>
                <w:t xml:space="preserve">34203281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Biomarkers for Homologous Recombination Deficiency in Cancer.</w:t>
            </w:r>
            <w:r>
              <w:rPr>
                <w:color w:val="404040" w:themeColor="text1" w:themeTint="BF"/>
                <w:sz w:val="20"/>
                <w:szCs w:val="20"/>
              </w:rPr>
              <w:t xml:space="preserve"> </w:t>
            </w:r>
            <w:r w:rsidRPr="00D90DD4">
              <w:rPr>
                <w:i/>
                <w:color w:val="767171" w:themeColor="background2" w:themeShade="80"/>
                <w:sz w:val="20"/>
                <w:szCs w:val="20"/>
              </w:rPr>
              <w:t xml:space="preserve">Wagener-Ryczek S et al., J Pers Med. 2021 Jun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5">
              <w:r>
                <w:rPr>
                  <w:sz w:val="20"/>
                  <w:rStyle w:val="Hyperlink"/>
                </w:rPr>
                <w:t xml:space="preserve">33687763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Atezolizumab and Durvalumab in Combination with Platinum-Based Chemotherapy in Extensive Stage Small Cell Lung Cancer.</w:t>
            </w:r>
            <w:r>
              <w:rPr>
                <w:color w:val="404040" w:themeColor="text1" w:themeTint="BF"/>
                <w:sz w:val="20"/>
                <w:szCs w:val="20"/>
              </w:rPr>
              <w:t xml:space="preserve"> </w:t>
            </w:r>
            <w:r w:rsidRPr="00D90DD4">
              <w:rPr>
                <w:i/>
                <w:color w:val="767171" w:themeColor="background2" w:themeShade="80"/>
                <w:sz w:val="20"/>
                <w:szCs w:val="20"/>
              </w:rPr>
              <w:t xml:space="preserve">Mathieu L et al., Oncologist. 2021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6">
              <w:r>
                <w:rPr>
                  <w:sz w:val="20"/>
                  <w:rStyle w:val="Hyperlink"/>
                </w:rPr>
                <w:t xml:space="preserve">32764980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 on Targeted Therapies for Advanced Non-Small Cell Lung Cancer: Durvalumab in Context.</w:t>
            </w:r>
            <w:r>
              <w:rPr>
                <w:color w:val="404040" w:themeColor="text1" w:themeTint="BF"/>
                <w:sz w:val="20"/>
                <w:szCs w:val="20"/>
              </w:rPr>
              <w:t xml:space="preserve"> </w:t>
            </w:r>
            <w:r w:rsidRPr="00D90DD4">
              <w:rPr>
                <w:i/>
                <w:color w:val="767171" w:themeColor="background2" w:themeShade="80"/>
                <w:sz w:val="20"/>
                <w:szCs w:val="20"/>
              </w:rPr>
              <w:t xml:space="preserve">Gullapalli S et al., Onco Targets Ther.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7">
              <w:r>
                <w:rPr>
                  <w:sz w:val="20"/>
                  <w:rStyle w:val="Hyperlink"/>
                </w:rPr>
                <w:t xml:space="preserve">28807052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Whole-blood RNA transcript-based models can predict clinical response in two large independent clinical studies of patients with advanced melanoma treated with the checkpoint inhibitor, tremelimumab.</w:t>
            </w:r>
            <w:r>
              <w:rPr>
                <w:color w:val="404040" w:themeColor="text1" w:themeTint="BF"/>
                <w:sz w:val="20"/>
                <w:szCs w:val="20"/>
              </w:rPr>
              <w:t xml:space="preserve"> </w:t>
            </w:r>
            <w:r w:rsidRPr="00D90DD4">
              <w:rPr>
                <w:i/>
                <w:color w:val="767171" w:themeColor="background2" w:themeShade="80"/>
                <w:sz w:val="20"/>
                <w:szCs w:val="20"/>
              </w:rPr>
              <w:t xml:space="preserve">Friedlander P et al., J Immunother Cancer. 2017 08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8">
              <w:r>
                <w:rPr>
                  <w:sz w:val="20"/>
                  <w:rStyle w:val="Hyperlink"/>
                </w:rPr>
                <w:t xml:space="preserve">35671201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 Study of Tremelimumab Monotherapy or in Combination With Durvalumab in Japanese Patients With Advanced Solid Tumors or Malignant Mesothelioma.</w:t>
            </w:r>
            <w:r>
              <w:rPr>
                <w:color w:val="404040" w:themeColor="text1" w:themeTint="BF"/>
                <w:sz w:val="20"/>
                <w:szCs w:val="20"/>
              </w:rPr>
              <w:t xml:space="preserve"> </w:t>
            </w:r>
            <w:r w:rsidRPr="00D90DD4">
              <w:rPr>
                <w:i/>
                <w:color w:val="767171" w:themeColor="background2" w:themeShade="80"/>
                <w:sz w:val="20"/>
                <w:szCs w:val="20"/>
              </w:rPr>
              <w:t xml:space="preserve">Fujiwara Y et al., Oncologist. 2022 Sep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9">
              <w:r>
                <w:rPr>
                  <w:sz w:val="20"/>
                  <w:rStyle w:val="Hyperlink"/>
                </w:rPr>
                <w:t xml:space="preserve">30911265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Immunological Agents Used in Cancer Treatment.</w:t>
            </w:r>
            <w:r>
              <w:rPr>
                <w:color w:val="404040" w:themeColor="text1" w:themeTint="BF"/>
                <w:sz w:val="20"/>
                <w:szCs w:val="20"/>
              </w:rPr>
              <w:t xml:space="preserve"> </w:t>
            </w:r>
            <w:r w:rsidRPr="00D90DD4">
              <w:rPr>
                <w:i/>
                <w:color w:val="767171" w:themeColor="background2" w:themeShade="80"/>
                <w:sz w:val="20"/>
                <w:szCs w:val="20"/>
              </w:rPr>
              <w:t xml:space="preserve">Simsek M et al., Eurasian J Med. 2019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0">
              <w:r>
                <w:rPr>
                  <w:sz w:val="20"/>
                  <w:rStyle w:val="Hyperlink"/>
                </w:rPr>
                <w:t xml:space="preserve">36016731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plus tremelimumab in unresectable hepatocellular carcinoma.</w:t>
            </w:r>
            <w:r>
              <w:rPr>
                <w:color w:val="404040" w:themeColor="text1" w:themeTint="BF"/>
                <w:sz w:val="20"/>
                <w:szCs w:val="20"/>
              </w:rPr>
              <w:t xml:space="preserve"> </w:t>
            </w:r>
            <w:r w:rsidRPr="00D90DD4">
              <w:rPr>
                <w:i/>
                <w:color w:val="767171" w:themeColor="background2" w:themeShade="80"/>
                <w:sz w:val="20"/>
                <w:szCs w:val="20"/>
              </w:rPr>
              <w:t xml:space="preserve">Kudo M, Hepatobiliary Surg Nutr. 2022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1">
              <w:r>
                <w:rPr>
                  <w:sz w:val="20"/>
                  <w:rStyle w:val="Hyperlink"/>
                </w:rPr>
                <w:t xml:space="preserve">35276342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immune checkpoint blockade: Mechanisms, counter-acting approaches, and future directions.</w:t>
            </w:r>
            <w:r>
              <w:rPr>
                <w:color w:val="404040" w:themeColor="text1" w:themeTint="BF"/>
                <w:sz w:val="20"/>
                <w:szCs w:val="20"/>
              </w:rPr>
              <w:t xml:space="preserve"> </w:t>
            </w:r>
            <w:r w:rsidRPr="00D90DD4">
              <w:rPr>
                <w:i/>
                <w:color w:val="767171" w:themeColor="background2" w:themeShade="80"/>
                <w:sz w:val="20"/>
                <w:szCs w:val="20"/>
              </w:rPr>
              <w:t xml:space="preserve">Haddad AF et al., Semin Cancer Biol. 2022 Mar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2">
              <w:r>
                <w:rPr>
                  <w:sz w:val="20"/>
                  <w:rStyle w:val="Hyperlink"/>
                </w:rPr>
                <w:t xml:space="preserve">32396674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Emerging Therapeutic Implications of STK11 Mutation: Case Series.</w:t>
            </w:r>
            <w:r>
              <w:rPr>
                <w:color w:val="404040" w:themeColor="text1" w:themeTint="BF"/>
                <w:sz w:val="20"/>
                <w:szCs w:val="20"/>
              </w:rPr>
              <w:t xml:space="preserve"> </w:t>
            </w:r>
            <w:r w:rsidRPr="00D90DD4">
              <w:rPr>
                <w:i/>
                <w:color w:val="767171" w:themeColor="background2" w:themeShade="80"/>
                <w:sz w:val="20"/>
                <w:szCs w:val="20"/>
              </w:rPr>
              <w:t xml:space="preserve">Laderian B et al., Oncologist. 2020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3">
              <w:r>
                <w:rPr>
                  <w:sz w:val="20"/>
                  <w:rStyle w:val="Hyperlink"/>
                </w:rPr>
                <w:t xml:space="preserve">34230008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Durvalumab and Durvalumab plus Tremelimumab Is Associated with Functional STK11 Mutations in Patients with Non-Small Cell Lung Cancer and Is Reversed by STAT3 Knockdown.</w:t>
            </w:r>
            <w:r>
              <w:rPr>
                <w:color w:val="404040" w:themeColor="text1" w:themeTint="BF"/>
                <w:sz w:val="20"/>
                <w:szCs w:val="20"/>
              </w:rPr>
              <w:t xml:space="preserve"> </w:t>
            </w:r>
            <w:r w:rsidRPr="00D90DD4">
              <w:rPr>
                <w:i/>
                <w:color w:val="767171" w:themeColor="background2" w:themeShade="80"/>
                <w:sz w:val="20"/>
                <w:szCs w:val="20"/>
              </w:rPr>
              <w:t xml:space="preserve">Pore N et al., Cancer Discov. 2021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4">
              <w:r>
                <w:rPr>
                  <w:sz w:val="20"/>
                  <w:rStyle w:val="Hyperlink"/>
                </w:rPr>
                <w:t xml:space="preserve">33256089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Overcoming Immune Evasion in Melanoma.</w:t>
            </w:r>
            <w:r>
              <w:rPr>
                <w:color w:val="404040" w:themeColor="text1" w:themeTint="BF"/>
                <w:sz w:val="20"/>
                <w:szCs w:val="20"/>
              </w:rPr>
              <w:t xml:space="preserve"> </w:t>
            </w:r>
            <w:r w:rsidRPr="00D90DD4">
              <w:rPr>
                <w:i/>
                <w:color w:val="767171" w:themeColor="background2" w:themeShade="80"/>
                <w:sz w:val="20"/>
                <w:szCs w:val="20"/>
              </w:rPr>
              <w:t xml:space="preserve">Eddy K et al., Int J Mol Sci. 2020 Nov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5">
              <w:r>
                <w:rPr>
                  <w:sz w:val="20"/>
                  <w:rStyle w:val="Hyperlink"/>
                </w:rPr>
                <w:t xml:space="preserve">34184561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Urothelial carcinoma in the era of immune checkpoint inhibitors.</w:t>
            </w:r>
            <w:r>
              <w:rPr>
                <w:color w:val="404040" w:themeColor="text1" w:themeTint="BF"/>
                <w:sz w:val="20"/>
                <w:szCs w:val="20"/>
              </w:rPr>
              <w:t xml:space="preserve"> </w:t>
            </w:r>
            <w:r w:rsidRPr="00D90DD4">
              <w:rPr>
                <w:i/>
                <w:color w:val="767171" w:themeColor="background2" w:themeShade="80"/>
                <w:sz w:val="20"/>
                <w:szCs w:val="20"/>
              </w:rPr>
              <w:t xml:space="preserve">Khalife N et al., Immunotherapy. 2021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6">
              <w:r>
                <w:rPr>
                  <w:sz w:val="20"/>
                  <w:rStyle w:val="Hyperlink"/>
                </w:rPr>
                <w:t xml:space="preserve">33401585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Immune Checkpoint Inhibitors for the Treatment of Bladder Cancer.</w:t>
            </w:r>
            <w:r>
              <w:rPr>
                <w:color w:val="404040" w:themeColor="text1" w:themeTint="BF"/>
                <w:sz w:val="20"/>
                <w:szCs w:val="20"/>
              </w:rPr>
              <w:t xml:space="preserve"> </w:t>
            </w:r>
            <w:r w:rsidRPr="00D90DD4">
              <w:rPr>
                <w:i/>
                <w:color w:val="767171" w:themeColor="background2" w:themeShade="80"/>
                <w:sz w:val="20"/>
                <w:szCs w:val="20"/>
              </w:rPr>
              <w:t xml:space="preserve">Lopez-Beltran A et al., Cancers (Basel). 2021 Jan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7">
              <w:r>
                <w:rPr>
                  <w:sz w:val="20"/>
                  <w:rStyle w:val="Hyperlink"/>
                </w:rPr>
                <w:t xml:space="preserve">35101885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Atezolizumab, and Cemiplimab-rwlc as Single Agents for First-Line Treatment of Advanced/Metastatic PD-L1-High NSCLC.</w:t>
            </w:r>
            <w:r>
              <w:rPr>
                <w:color w:val="404040" w:themeColor="text1" w:themeTint="BF"/>
                <w:sz w:val="20"/>
                <w:szCs w:val="20"/>
              </w:rPr>
              <w:t xml:space="preserve"> </w:t>
            </w:r>
            <w:r w:rsidRPr="00D90DD4">
              <w:rPr>
                <w:i/>
                <w:color w:val="767171" w:themeColor="background2" w:themeShade="80"/>
                <w:sz w:val="20"/>
                <w:szCs w:val="20"/>
              </w:rPr>
              <w:t xml:space="preserve">Akinboro O et al., Clin Cancer Res. 2022 06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8">
              <w:r>
                <w:rPr>
                  <w:sz w:val="20"/>
                  <w:rStyle w:val="Hyperlink"/>
                </w:rPr>
                <w:t xml:space="preserve">34104805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Immunotherapy in non-small cell lung cancer: Update and new insights.</w:t>
            </w:r>
            <w:r>
              <w:rPr>
                <w:color w:val="404040" w:themeColor="text1" w:themeTint="BF"/>
                <w:sz w:val="20"/>
                <w:szCs w:val="20"/>
              </w:rPr>
              <w:t xml:space="preserve"> </w:t>
            </w:r>
            <w:r w:rsidRPr="00D90DD4">
              <w:rPr>
                <w:i/>
                <w:color w:val="767171" w:themeColor="background2" w:themeShade="80"/>
                <w:sz w:val="20"/>
                <w:szCs w:val="20"/>
              </w:rPr>
              <w:t xml:space="preserve">Mielgo-Rubio X et al., J Clin Transl Res. 2021 Feb 25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9">
              <w:r>
                <w:rPr>
                  <w:sz w:val="20"/>
                  <w:rStyle w:val="Hyperlink"/>
                </w:rPr>
                <w:t xml:space="preserve">35062949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Combination strategies with PD-1/PD-L1 blockade: current advances and future directions.</w:t>
            </w:r>
            <w:r>
              <w:rPr>
                <w:color w:val="404040" w:themeColor="text1" w:themeTint="BF"/>
                <w:sz w:val="20"/>
                <w:szCs w:val="20"/>
              </w:rPr>
              <w:t xml:space="preserve"> </w:t>
            </w:r>
            <w:r w:rsidRPr="00D90DD4">
              <w:rPr>
                <w:i/>
                <w:color w:val="767171" w:themeColor="background2" w:themeShade="80"/>
                <w:sz w:val="20"/>
                <w:szCs w:val="20"/>
              </w:rPr>
              <w:t xml:space="preserve">Yi M et al., Mol Cancer. 2022 01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0">
              <w:r>
                <w:rPr>
                  <w:sz w:val="20"/>
                  <w:rStyle w:val="Hyperlink"/>
                </w:rPr>
                <w:t xml:space="preserve">31829747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in combination with bevacizumab, paclitaxel and carboplatin for the first-line treatment of patients with metastatic non-squamous non-small cell lung cancer, including patients with EGFR mutations.</w:t>
            </w:r>
            <w:r>
              <w:rPr>
                <w:color w:val="404040" w:themeColor="text1" w:themeTint="BF"/>
                <w:sz w:val="20"/>
                <w:szCs w:val="20"/>
              </w:rPr>
              <w:t xml:space="preserve"> </w:t>
            </w:r>
            <w:r w:rsidRPr="00D90DD4">
              <w:rPr>
                <w:i/>
                <w:color w:val="767171" w:themeColor="background2" w:themeShade="80"/>
                <w:sz w:val="20"/>
                <w:szCs w:val="20"/>
              </w:rPr>
              <w:t xml:space="preserve">Reck M et al., Expert Rev Respir Med. 2020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1">
              <w:r>
                <w:rPr>
                  <w:sz w:val="20"/>
                  <w:rStyle w:val="Hyperlink"/>
                </w:rPr>
                <w:t xml:space="preserve">33427656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Patterns of Disease Progression after Carboplatin/Etoposide + Atezolizumab in Extensive-Stage Small-Cell Lung Cancer (ES-SCLC).</w:t>
            </w:r>
            <w:r>
              <w:rPr>
                <w:color w:val="404040" w:themeColor="text1" w:themeTint="BF"/>
                <w:sz w:val="20"/>
                <w:szCs w:val="20"/>
              </w:rPr>
              <w:t xml:space="preserve"> </w:t>
            </w:r>
            <w:r w:rsidRPr="00D90DD4">
              <w:rPr>
                <w:i/>
                <w:color w:val="767171" w:themeColor="background2" w:themeShade="80"/>
                <w:sz w:val="20"/>
                <w:szCs w:val="20"/>
              </w:rPr>
              <w:t xml:space="preserve">Higgins KA et al., Int J Radiat Oncol Biol Phys. 2020 12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2">
              <w:r>
                <w:rPr>
                  <w:sz w:val="20"/>
                  <w:rStyle w:val="Hyperlink"/>
                </w:rPr>
                <w:t xml:space="preserve">35032007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Addition of Immune Checkpoint Inhibitors to Chemotherapy vs Chemotherapy Alone as First-Line Treatment in Extensive-Stage Small-Cell Lung Carcinoma: A Systematic Review and Meta-Analysis.</w:t>
            </w:r>
            <w:r>
              <w:rPr>
                <w:color w:val="404040" w:themeColor="text1" w:themeTint="BF"/>
                <w:sz w:val="20"/>
                <w:szCs w:val="20"/>
              </w:rPr>
              <w:t xml:space="preserve"> </w:t>
            </w:r>
            <w:r w:rsidRPr="00D90DD4">
              <w:rPr>
                <w:i/>
                <w:color w:val="767171" w:themeColor="background2" w:themeShade="80"/>
                <w:sz w:val="20"/>
                <w:szCs w:val="20"/>
              </w:rPr>
              <w:t xml:space="preserve">Arriola E et al., Oncol Ther. 2022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3">
              <w:r>
                <w:rPr>
                  <w:sz w:val="20"/>
                  <w:rStyle w:val="Hyperlink"/>
                </w:rPr>
                <w:t xml:space="preserve">34956912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Immune Checkpoint Blockade in the Hepatocellular Carcinoma: A Review of Clinical Trials.</w:t>
            </w:r>
            <w:r>
              <w:rPr>
                <w:color w:val="404040" w:themeColor="text1" w:themeTint="BF"/>
                <w:sz w:val="20"/>
                <w:szCs w:val="20"/>
              </w:rPr>
              <w:t xml:space="preserve"> </w:t>
            </w:r>
            <w:r w:rsidRPr="00D90DD4">
              <w:rPr>
                <w:i/>
                <w:color w:val="767171" w:themeColor="background2" w:themeShade="80"/>
                <w:sz w:val="20"/>
                <w:szCs w:val="20"/>
              </w:rPr>
              <w:t xml:space="preserve">Ozer M et al., Front Oncol.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4">
              <w:r>
                <w:rPr>
                  <w:sz w:val="20"/>
                  <w:rStyle w:val="Hyperlink"/>
                </w:rPr>
                <w:t xml:space="preserve">35081747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and bevacizumab with transarterial chemoembolization in hepatocellular carcinoma: the DEMAND trial protocol.</w:t>
            </w:r>
            <w:r>
              <w:rPr>
                <w:color w:val="404040" w:themeColor="text1" w:themeTint="BF"/>
                <w:sz w:val="20"/>
                <w:szCs w:val="20"/>
              </w:rPr>
              <w:t xml:space="preserve"> </w:t>
            </w:r>
            <w:r w:rsidRPr="00D90DD4">
              <w:rPr>
                <w:i/>
                <w:color w:val="767171" w:themeColor="background2" w:themeShade="80"/>
                <w:sz w:val="20"/>
                <w:szCs w:val="20"/>
              </w:rPr>
              <w:t xml:space="preserve">Ben Khaled N et al., Future Oncol. 2022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5">
              <w:r>
                <w:rPr>
                  <w:sz w:val="20"/>
                  <w:rStyle w:val="Hyperlink"/>
                </w:rPr>
                <w:t xml:space="preserve">32534646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vemurafenib, and cobimetinib as first-line treatment for unresectable advanced BRAFV600 mutation-positive melanoma (IMspire150): primary analysis of the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Gutzmer R et al., Lancet. 2020 06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6">
              <w:r>
                <w:rPr>
                  <w:sz w:val="20"/>
                  <w:rStyle w:val="Hyperlink"/>
                </w:rPr>
                <w:t xml:space="preserve">35131452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Biomarkers of treatment benefit with atezolizumab plus vemurafenib plus cobimetinib in BRAFmutation-positive melanoma.</w:t>
            </w:r>
            <w:r>
              <w:rPr>
                <w:color w:val="404040" w:themeColor="text1" w:themeTint="BF"/>
                <w:sz w:val="20"/>
                <w:szCs w:val="20"/>
              </w:rPr>
              <w:t xml:space="preserve"> </w:t>
            </w:r>
            <w:r w:rsidRPr="00D90DD4">
              <w:rPr>
                <w:i/>
                <w:color w:val="767171" w:themeColor="background2" w:themeShade="80"/>
                <w:sz w:val="20"/>
                <w:szCs w:val="20"/>
              </w:rPr>
              <w:t xml:space="preserve">Robert C et al., Ann Oncol. 2022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7">
              <w:r>
                <w:rPr>
                  <w:sz w:val="20"/>
                  <w:rStyle w:val="Hyperlink"/>
                </w:rPr>
                <w:t xml:space="preserve">23493883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emerging next-generation tyrosine kinase inhibitor for NSCLC.</w:t>
            </w:r>
            <w:r>
              <w:rPr>
                <w:color w:val="404040" w:themeColor="text1" w:themeTint="BF"/>
                <w:sz w:val="20"/>
                <w:szCs w:val="20"/>
              </w:rPr>
              <w:t xml:space="preserve"> </w:t>
            </w:r>
            <w:r w:rsidRPr="00D90DD4">
              <w:rPr>
                <w:i/>
                <w:color w:val="767171" w:themeColor="background2" w:themeShade="80"/>
                <w:sz w:val="20"/>
                <w:szCs w:val="20"/>
              </w:rPr>
              <w:t xml:space="preserve">Nelson V et al., Onco Targets Ther. 2013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8">
              <w:r>
                <w:rPr>
                  <w:sz w:val="20"/>
                  <w:rStyle w:val="Hyperlink"/>
                </w:rPr>
                <w:t xml:space="preserve">18408761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BIBW2992, an irreversible EGFR/HER2 inhibitor highly effective in preclinical lung cancer models.</w:t>
            </w:r>
            <w:r>
              <w:rPr>
                <w:color w:val="404040" w:themeColor="text1" w:themeTint="BF"/>
                <w:sz w:val="20"/>
                <w:szCs w:val="20"/>
              </w:rPr>
              <w:t xml:space="preserve"> </w:t>
            </w:r>
            <w:r w:rsidRPr="00D90DD4">
              <w:rPr>
                <w:i/>
                <w:color w:val="767171" w:themeColor="background2" w:themeShade="80"/>
                <w:sz w:val="20"/>
                <w:szCs w:val="20"/>
              </w:rPr>
              <w:t xml:space="preserve">Li D et al., Oncogene. 2008 Aug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9">
              <w:r>
                <w:rPr>
                  <w:sz w:val="20"/>
                  <w:rStyle w:val="Hyperlink"/>
                </w:rPr>
                <w:t xml:space="preserve">28149837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Next-Generation EGFR Tyrosine Kinase Inhibitors for Treating-Mutant Lung Cancer beyond First Line.</w:t>
            </w:r>
            <w:r>
              <w:rPr>
                <w:color w:val="404040" w:themeColor="text1" w:themeTint="BF"/>
                <w:sz w:val="20"/>
                <w:szCs w:val="20"/>
              </w:rPr>
              <w:t xml:space="preserve"> </w:t>
            </w:r>
            <w:r w:rsidRPr="00D90DD4">
              <w:rPr>
                <w:i/>
                <w:color w:val="767171" w:themeColor="background2" w:themeShade="80"/>
                <w:sz w:val="20"/>
                <w:szCs w:val="20"/>
              </w:rPr>
              <w:t xml:space="preserve">Sullivan I et al., Front Med (Lausanne). 2016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0">
              <w:r>
                <w:rPr>
                  <w:sz w:val="20"/>
                  <w:rStyle w:val="Hyperlink"/>
                </w:rPr>
                <w:t xml:space="preserve">34638411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Mechanism of EGFR-TKI Resistance in-Mutated Non-Small Cell Lung Cancer: Application to Biological Diagnostic and Monitoring.</w:t>
            </w:r>
            <w:r>
              <w:rPr>
                <w:color w:val="404040" w:themeColor="text1" w:themeTint="BF"/>
                <w:sz w:val="20"/>
                <w:szCs w:val="20"/>
              </w:rPr>
              <w:t xml:space="preserve"> </w:t>
            </w:r>
            <w:r w:rsidRPr="00D90DD4">
              <w:rPr>
                <w:i/>
                <w:color w:val="767171" w:themeColor="background2" w:themeShade="80"/>
                <w:sz w:val="20"/>
                <w:szCs w:val="20"/>
              </w:rPr>
              <w:t xml:space="preserve">Reita D et al., Cancers (Basel). 2021 Sep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1">
              <w:r>
                <w:rPr>
                  <w:sz w:val="20"/>
                  <w:rStyle w:val="Hyperlink"/>
                </w:rPr>
                <w:t xml:space="preserve">23470965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Analysis of tumor specimens at the time of acquired resistance to EGFR-TKI therapy in 155 patients with EGFR-mutant lung cancers.</w:t>
            </w:r>
            <w:r>
              <w:rPr>
                <w:color w:val="404040" w:themeColor="text1" w:themeTint="BF"/>
                <w:sz w:val="20"/>
                <w:szCs w:val="20"/>
              </w:rPr>
              <w:t xml:space="preserve"> </w:t>
            </w:r>
            <w:r w:rsidRPr="00D90DD4">
              <w:rPr>
                <w:i/>
                <w:color w:val="767171" w:themeColor="background2" w:themeShade="80"/>
                <w:sz w:val="20"/>
                <w:szCs w:val="20"/>
              </w:rPr>
              <w:t xml:space="preserve">Yu HA et al., Clin Cancer Res. 2013 Apr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2">
              <w:r>
                <w:rPr>
                  <w:sz w:val="20"/>
                  <w:rStyle w:val="Hyperlink"/>
                </w:rPr>
                <w:t xml:space="preserve">11970755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vascular endothelial growth factor (VEGF) in tumor angiogenesis and early clinical development of VEGF-receptor kinase inhibitors.</w:t>
            </w:r>
            <w:r>
              <w:rPr>
                <w:color w:val="404040" w:themeColor="text1" w:themeTint="BF"/>
                <w:sz w:val="20"/>
                <w:szCs w:val="20"/>
              </w:rPr>
              <w:t xml:space="preserve"> </w:t>
            </w:r>
            <w:r w:rsidRPr="00D90DD4">
              <w:rPr>
                <w:i/>
                <w:color w:val="767171" w:themeColor="background2" w:themeShade="80"/>
                <w:sz w:val="20"/>
                <w:szCs w:val="20"/>
              </w:rPr>
              <w:t xml:space="preserve">Verheul HM et al., Clin Breast Cancer. 2000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3">
              <w:r>
                <w:rPr>
                  <w:sz w:val="20"/>
                  <w:rStyle w:val="Hyperlink"/>
                </w:rPr>
                <w:t xml:space="preserve">25568148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Practical management of bevacizumab-related toxicities in glioblastoma.</w:t>
            </w:r>
            <w:r>
              <w:rPr>
                <w:color w:val="404040" w:themeColor="text1" w:themeTint="BF"/>
                <w:sz w:val="20"/>
                <w:szCs w:val="20"/>
              </w:rPr>
              <w:t xml:space="preserve"> </w:t>
            </w:r>
            <w:r w:rsidRPr="00D90DD4">
              <w:rPr>
                <w:i/>
                <w:color w:val="767171" w:themeColor="background2" w:themeShade="80"/>
                <w:sz w:val="20"/>
                <w:szCs w:val="20"/>
              </w:rPr>
              <w:t xml:space="preserve">Brandes AA et al., Oncologist. 2015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4">
              <w:r>
                <w:rPr>
                  <w:sz w:val="20"/>
                  <w:rStyle w:val="Hyperlink"/>
                </w:rPr>
                <w:t xml:space="preserve">17212999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 angiogenesis inhibitor for the treatment of solid malignancies.</w:t>
            </w:r>
            <w:r>
              <w:rPr>
                <w:color w:val="404040" w:themeColor="text1" w:themeTint="BF"/>
                <w:sz w:val="20"/>
                <w:szCs w:val="20"/>
              </w:rPr>
              <w:t xml:space="preserve"> </w:t>
            </w:r>
            <w:r w:rsidRPr="00D90DD4">
              <w:rPr>
                <w:i/>
                <w:color w:val="767171" w:themeColor="background2" w:themeShade="80"/>
                <w:sz w:val="20"/>
                <w:szCs w:val="20"/>
              </w:rPr>
              <w:t xml:space="preserve">Shih T et al., Clin Ther. 2006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5">
              <w:r>
                <w:rPr>
                  <w:sz w:val="20"/>
                  <w:rStyle w:val="Hyperlink"/>
                </w:rPr>
                <w:t xml:space="preserve">19897538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(Avastin) as treatment of recurrent glioblastoma multiforme.</w:t>
            </w:r>
            <w:r>
              <w:rPr>
                <w:color w:val="404040" w:themeColor="text1" w:themeTint="BF"/>
                <w:sz w:val="20"/>
                <w:szCs w:val="20"/>
              </w:rPr>
              <w:t xml:space="preserve"> </w:t>
            </w:r>
            <w:r w:rsidRPr="00D90DD4">
              <w:rPr>
                <w:i/>
                <w:color w:val="767171" w:themeColor="background2" w:themeShade="80"/>
                <w:sz w:val="20"/>
                <w:szCs w:val="20"/>
              </w:rPr>
              <w:t xml:space="preserve">Cohen MH et al., Oncologist. 2009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6">
              <w:r>
                <w:rPr>
                  <w:sz w:val="20"/>
                  <w:rStyle w:val="Hyperlink"/>
                </w:rPr>
                <w:t xml:space="preserve">27748633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safety and efficacy of bevacizumab in the treatment of patients with recurrent or metastatic cervical cancer.</w:t>
            </w:r>
            <w:r>
              <w:rPr>
                <w:color w:val="404040" w:themeColor="text1" w:themeTint="BF"/>
                <w:sz w:val="20"/>
                <w:szCs w:val="20"/>
              </w:rPr>
              <w:t xml:space="preserve"> </w:t>
            </w:r>
            <w:r w:rsidRPr="00D90DD4">
              <w:rPr>
                <w:i/>
                <w:color w:val="767171" w:themeColor="background2" w:themeShade="80"/>
                <w:sz w:val="20"/>
                <w:szCs w:val="20"/>
              </w:rPr>
              <w:t xml:space="preserve">Minion LE et al., Expert Rev Anticancer Ther. 2017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7">
              <w:r>
                <w:rPr>
                  <w:sz w:val="20"/>
                  <w:rStyle w:val="Hyperlink"/>
                </w:rPr>
                <w:t xml:space="preserve">15901587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in combination chemotherapy for colorectal and other cancers.</w:t>
            </w:r>
            <w:r>
              <w:rPr>
                <w:color w:val="404040" w:themeColor="text1" w:themeTint="BF"/>
                <w:sz w:val="20"/>
                <w:szCs w:val="20"/>
              </w:rPr>
              <w:t xml:space="preserve"> </w:t>
            </w:r>
            <w:r w:rsidRPr="00D90DD4">
              <w:rPr>
                <w:i/>
                <w:color w:val="767171" w:themeColor="background2" w:themeShade="80"/>
                <w:sz w:val="20"/>
                <w:szCs w:val="20"/>
              </w:rPr>
              <w:t xml:space="preserve">Motl S, Am J Health Syst Pharm. 2005 May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8">
              <w:r>
                <w:rPr>
                  <w:sz w:val="20"/>
                  <w:rStyle w:val="Hyperlink"/>
                </w:rPr>
                <w:t xml:space="preserve">20061402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plus interferon for advanced renal cell carcinoma.</w:t>
            </w:r>
            <w:r>
              <w:rPr>
                <w:color w:val="404040" w:themeColor="text1" w:themeTint="BF"/>
                <w:sz w:val="20"/>
                <w:szCs w:val="20"/>
              </w:rPr>
              <w:t xml:space="preserve"> </w:t>
            </w:r>
            <w:r w:rsidRPr="00D90DD4">
              <w:rPr>
                <w:i/>
                <w:color w:val="767171" w:themeColor="background2" w:themeShade="80"/>
                <w:sz w:val="20"/>
                <w:szCs w:val="20"/>
              </w:rPr>
              <w:t xml:space="preserve">Summers J et al., Oncologist. 2010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9">
              <w:r>
                <w:rPr>
                  <w:sz w:val="20"/>
                  <w:rStyle w:val="Hyperlink"/>
                </w:rPr>
                <w:t xml:space="preserve">24687829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 results from the open-label phase III AURELIA trial evaluating bevacizumab-containing therapy for platinum-resistant ovarian cancer.</w:t>
            </w:r>
            <w:r>
              <w:rPr>
                <w:color w:val="404040" w:themeColor="text1" w:themeTint="BF"/>
                <w:sz w:val="20"/>
                <w:szCs w:val="20"/>
              </w:rPr>
              <w:t xml:space="preserve"> </w:t>
            </w:r>
            <w:r w:rsidRPr="00D90DD4">
              <w:rPr>
                <w:i/>
                <w:color w:val="767171" w:themeColor="background2" w:themeShade="80"/>
                <w:sz w:val="20"/>
                <w:szCs w:val="20"/>
              </w:rPr>
              <w:t xml:space="preserve">Stockler MR et al., J Clin Oncol. 2014 May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0">
              <w:r>
                <w:rPr>
                  <w:sz w:val="20"/>
                  <w:rStyle w:val="Hyperlink"/>
                </w:rPr>
                <w:t xml:space="preserve">28438473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and paclitaxel-carboplatin chemotherapy and secondary cytoreduction in recurrent, platinum-sensitive ovarian cancer (NRG Oncology/Gynecologic Oncology Group study GOG-0213):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Coleman RL et al., Lancet Oncol. 2017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1">
              <w:r>
                <w:rPr>
                  <w:sz w:val="20"/>
                  <w:rStyle w:val="Hyperlink"/>
                </w:rPr>
                <w:t xml:space="preserve">32305099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and platinum-based combinations for recurrent ovarian cancer: a randomised, open-label, phase 3 trial.</w:t>
            </w:r>
            <w:r>
              <w:rPr>
                <w:color w:val="404040" w:themeColor="text1" w:themeTint="BF"/>
                <w:sz w:val="20"/>
                <w:szCs w:val="20"/>
              </w:rPr>
              <w:t xml:space="preserve"> </w:t>
            </w:r>
            <w:r w:rsidRPr="00D90DD4">
              <w:rPr>
                <w:i/>
                <w:color w:val="767171" w:themeColor="background2" w:themeShade="80"/>
                <w:sz w:val="20"/>
                <w:szCs w:val="20"/>
              </w:rPr>
              <w:t xml:space="preserve">Pfisterer J et al., Lancet Oncol. 2020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2">
              <w:r>
                <w:rPr>
                  <w:sz w:val="20"/>
                  <w:rStyle w:val="Hyperlink"/>
                </w:rPr>
                <w:t xml:space="preserve">22204724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Incorporation of bevacizumab in the primary treatment of ovarian cancer.</w:t>
            </w:r>
            <w:r>
              <w:rPr>
                <w:color w:val="404040" w:themeColor="text1" w:themeTint="BF"/>
                <w:sz w:val="20"/>
                <w:szCs w:val="20"/>
              </w:rPr>
              <w:t xml:space="preserve"> </w:t>
            </w:r>
            <w:r w:rsidRPr="00D90DD4">
              <w:rPr>
                <w:i/>
                <w:color w:val="767171" w:themeColor="background2" w:themeShade="80"/>
                <w:sz w:val="20"/>
                <w:szCs w:val="20"/>
              </w:rPr>
              <w:t xml:space="preserve">Burger RA et al., N Engl J Med. 2011 Dec 29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3">
              <w:r>
                <w:rPr>
                  <w:sz w:val="20"/>
                  <w:rStyle w:val="Hyperlink"/>
                </w:rPr>
                <w:t xml:space="preserve">31216226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Final Overall Survival of a Randomized Trial of Bevacizumab for Primary Treatment of Ovarian Cancer.</w:t>
            </w:r>
            <w:r>
              <w:rPr>
                <w:color w:val="404040" w:themeColor="text1" w:themeTint="BF"/>
                <w:sz w:val="20"/>
                <w:szCs w:val="20"/>
              </w:rPr>
              <w:t xml:space="preserve"> </w:t>
            </w:r>
            <w:r w:rsidRPr="00D90DD4">
              <w:rPr>
                <w:i/>
                <w:color w:val="767171" w:themeColor="background2" w:themeShade="80"/>
                <w:sz w:val="20"/>
                <w:szCs w:val="20"/>
              </w:rPr>
              <w:t xml:space="preserve">Tewari KS et al., J Clin Oncol. 2019 09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4">
              <w:r>
                <w:rPr>
                  <w:sz w:val="20"/>
                  <w:rStyle w:val="Hyperlink"/>
                </w:rPr>
                <w:t xml:space="preserve">29863955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for First-Line Treatment of Metastatic Nonsquamous NSCLC.</w:t>
            </w:r>
            <w:r>
              <w:rPr>
                <w:color w:val="404040" w:themeColor="text1" w:themeTint="BF"/>
                <w:sz w:val="20"/>
                <w:szCs w:val="20"/>
              </w:rPr>
              <w:t xml:space="preserve"> </w:t>
            </w:r>
            <w:r w:rsidRPr="00D90DD4">
              <w:rPr>
                <w:i/>
                <w:color w:val="767171" w:themeColor="background2" w:themeShade="80"/>
                <w:sz w:val="20"/>
                <w:szCs w:val="20"/>
              </w:rPr>
              <w:t xml:space="preserve">Socinski MA et al., N Engl J Med. 2018 Jun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5">
              <w:r>
                <w:rPr>
                  <w:sz w:val="20"/>
                  <w:rStyle w:val="Hyperlink"/>
                </w:rPr>
                <w:t xml:space="preserve">34051880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outcomes with atezolizumab plus bevacizumab versus sorafenib in patients with unresectable hepatocellular carcinoma (IMbrave150): an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Galle PR et al., Lancet Oncol.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6">
              <w:r>
                <w:rPr>
                  <w:sz w:val="20"/>
                  <w:rStyle w:val="Hyperlink"/>
                </w:rPr>
                <w:t xml:space="preserve">34189869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response to atezolizumab + bevacizumab versus sorafenib for hepatocellular carcinoma: Results from the IMbrave150 trial.</w:t>
            </w:r>
            <w:r>
              <w:rPr>
                <w:color w:val="404040" w:themeColor="text1" w:themeTint="BF"/>
                <w:sz w:val="20"/>
                <w:szCs w:val="20"/>
              </w:rPr>
              <w:t xml:space="preserve"> </w:t>
            </w:r>
            <w:r w:rsidRPr="00D90DD4">
              <w:rPr>
                <w:i/>
                <w:color w:val="767171" w:themeColor="background2" w:themeShade="80"/>
                <w:sz w:val="20"/>
                <w:szCs w:val="20"/>
              </w:rPr>
              <w:t xml:space="preserve">Salem R et al., Cancer Med. 2021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7">
              <w:r>
                <w:rPr>
                  <w:sz w:val="20"/>
                  <w:rStyle w:val="Hyperlink"/>
                </w:rPr>
                <w:t xml:space="preserve">34534429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for Persistent, Recurrent, or Metastatic Cervical Cancer.</w:t>
            </w:r>
            <w:r>
              <w:rPr>
                <w:color w:val="404040" w:themeColor="text1" w:themeTint="BF"/>
                <w:sz w:val="20"/>
                <w:szCs w:val="20"/>
              </w:rPr>
              <w:t xml:space="preserve"> </w:t>
            </w:r>
            <w:r w:rsidRPr="00D90DD4">
              <w:rPr>
                <w:i/>
                <w:color w:val="767171" w:themeColor="background2" w:themeShade="80"/>
                <w:sz w:val="20"/>
                <w:szCs w:val="20"/>
              </w:rPr>
              <w:t xml:space="preserve">Colombo N et al., N Engl J Med. 2021 11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8">
              <w:r>
                <w:rPr>
                  <w:sz w:val="20"/>
                  <w:rStyle w:val="Hyperlink"/>
                </w:rPr>
                <w:t xml:space="preserve">30075697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in the treatment of non-small-cell lung cancer: clinical controversies.</w:t>
            </w:r>
            <w:r>
              <w:rPr>
                <w:color w:val="404040" w:themeColor="text1" w:themeTint="BF"/>
                <w:sz w:val="20"/>
                <w:szCs w:val="20"/>
              </w:rPr>
              <w:t xml:space="preserve"> </w:t>
            </w:r>
            <w:r w:rsidRPr="00D90DD4">
              <w:rPr>
                <w:i/>
                <w:color w:val="767171" w:themeColor="background2" w:themeShade="80"/>
                <w:sz w:val="20"/>
                <w:szCs w:val="20"/>
              </w:rPr>
              <w:t xml:space="preserve">di Noia V et al., Expert Opin Biol Ther. 2018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9">
              <w:r>
                <w:rPr>
                  <w:sz w:val="20"/>
                  <w:rStyle w:val="Hyperlink"/>
                </w:rPr>
                <w:t xml:space="preserve">33188892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targeting for cancer therapy: Pharmacology and immunoconjugates with drugs and nanoparticles.</w:t>
            </w:r>
            <w:r>
              <w:rPr>
                <w:color w:val="404040" w:themeColor="text1" w:themeTint="BF"/>
                <w:sz w:val="20"/>
                <w:szCs w:val="20"/>
              </w:rPr>
              <w:t xml:space="preserve"> </w:t>
            </w:r>
            <w:r w:rsidRPr="00D90DD4">
              <w:rPr>
                <w:i/>
                <w:color w:val="767171" w:themeColor="background2" w:themeShade="80"/>
                <w:sz w:val="20"/>
                <w:szCs w:val="20"/>
              </w:rPr>
              <w:t xml:space="preserve">Santos EDS et al., Int J Pharm. 2021 Jan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0">
              <w:r>
                <w:rPr>
                  <w:sz w:val="20"/>
                  <w:rStyle w:val="Hyperlink"/>
                </w:rPr>
                <w:t xml:space="preserve">20197484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 pharmacologic study of necitumumab (IMC-11F8), a fully human IgG1 monoclonal antibody directed against EGFR in patients with advanced solid malignancies.</w:t>
            </w:r>
            <w:r>
              <w:rPr>
                <w:color w:val="404040" w:themeColor="text1" w:themeTint="BF"/>
                <w:sz w:val="20"/>
                <w:szCs w:val="20"/>
              </w:rPr>
              <w:t xml:space="preserve"> </w:t>
            </w:r>
            <w:r w:rsidRPr="00D90DD4">
              <w:rPr>
                <w:i/>
                <w:color w:val="767171" w:themeColor="background2" w:themeShade="80"/>
                <w:sz w:val="20"/>
                <w:szCs w:val="20"/>
              </w:rPr>
              <w:t xml:space="preserve">Kuenen B et al., Clin Cancer Res. 2010 Mar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1">
              <w:r>
                <w:rPr>
                  <w:sz w:val="20"/>
                  <w:rStyle w:val="Hyperlink"/>
                </w:rPr>
                <w:t xml:space="preserve">31228284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effects of somatic mutations on EGFR interaction with anti-EGFR monoclonal antibodies: Implication for acquired resistance.</w:t>
            </w:r>
            <w:r>
              <w:rPr>
                <w:color w:val="404040" w:themeColor="text1" w:themeTint="BF"/>
                <w:sz w:val="20"/>
                <w:szCs w:val="20"/>
              </w:rPr>
              <w:t xml:space="preserve"> </w:t>
            </w:r>
            <w:r w:rsidRPr="00D90DD4">
              <w:rPr>
                <w:i/>
                <w:color w:val="767171" w:themeColor="background2" w:themeShade="80"/>
                <w:sz w:val="20"/>
                <w:szCs w:val="20"/>
              </w:rPr>
              <w:t xml:space="preserve">Tabasinezhad M et al., Proteins. 2020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2">
              <w:r>
                <w:rPr>
                  <w:sz w:val="20"/>
                  <w:rStyle w:val="Hyperlink"/>
                </w:rPr>
                <w:t xml:space="preserve">32793499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Latest Battles Between EGFR Monoclonal Antibodies and Resistant Tumor Cells.</w:t>
            </w:r>
            <w:r>
              <w:rPr>
                <w:color w:val="404040" w:themeColor="text1" w:themeTint="BF"/>
                <w:sz w:val="20"/>
                <w:szCs w:val="20"/>
              </w:rPr>
              <w:t xml:space="preserve"> </w:t>
            </w:r>
            <w:r w:rsidRPr="00D90DD4">
              <w:rPr>
                <w:i/>
                <w:color w:val="767171" w:themeColor="background2" w:themeShade="80"/>
                <w:sz w:val="20"/>
                <w:szCs w:val="20"/>
              </w:rPr>
              <w:t xml:space="preserve">Cai WQ et al., Front Oncol.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3">
              <w:r>
                <w:rPr>
                  <w:sz w:val="20"/>
                  <w:rStyle w:val="Hyperlink"/>
                </w:rPr>
                <w:t xml:space="preserve">32371296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New insights into the pharmacological, immunological, and CAR-T-cell approaches in the treatment of hepatocellular carcinoma.</w:t>
            </w:r>
            <w:r>
              <w:rPr>
                <w:color w:val="404040" w:themeColor="text1" w:themeTint="BF"/>
                <w:sz w:val="20"/>
                <w:szCs w:val="20"/>
              </w:rPr>
              <w:t xml:space="preserve"> </w:t>
            </w:r>
            <w:r w:rsidRPr="00D90DD4">
              <w:rPr>
                <w:i/>
                <w:color w:val="767171" w:themeColor="background2" w:themeShade="80"/>
                <w:sz w:val="20"/>
                <w:szCs w:val="20"/>
              </w:rPr>
              <w:t xml:space="preserve">Dal Bo M et al., Drug Resist Updat. 2020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4">
              <w:r>
                <w:rPr>
                  <w:sz w:val="20"/>
                  <w:rStyle w:val="Hyperlink"/>
                </w:rPr>
                <w:t xml:space="preserve">24094768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monotherapy for previously treated advanced gastric or gastro-oesophageal junction adenocarcinoma (REGARD): an international, randomised, multicentre,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Fuchs CS et al., Lancet. 2014 Jan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5">
              <w:r>
                <w:rPr>
                  <w:sz w:val="20"/>
                  <w:rStyle w:val="Hyperlink"/>
                </w:rPr>
                <w:t xml:space="preserve">25240821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paclitaxel versus placebo plus paclitaxel in patients with previously treated advanced gastric or gastro-oesophageal junction adenocarcinoma (RAINBOW): a double-blind, randomised phase 3 trial.</w:t>
            </w:r>
            <w:r>
              <w:rPr>
                <w:color w:val="404040" w:themeColor="text1" w:themeTint="BF"/>
                <w:sz w:val="20"/>
                <w:szCs w:val="20"/>
              </w:rPr>
              <w:t xml:space="preserve"> </w:t>
            </w:r>
            <w:r w:rsidRPr="00D90DD4">
              <w:rPr>
                <w:i/>
                <w:color w:val="767171" w:themeColor="background2" w:themeShade="80"/>
                <w:sz w:val="20"/>
                <w:szCs w:val="20"/>
              </w:rPr>
              <w:t xml:space="preserve">Wilke H et al., Lancet Oncol. 2014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6">
              <w:r>
                <w:rPr>
                  <w:sz w:val="20"/>
                  <w:rStyle w:val="Hyperlink"/>
                </w:rPr>
                <w:t xml:space="preserve">25877855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versus placebo in combination with second-line FOLFIRI in patients with metastatic colorectal carcinoma that progressed during or after first-line therapy with bevacizumab, oxaliplatin, and a fluoropyrimidine (RAISE): a randomised, double-blind, multicentre, phase 3 study.</w:t>
            </w:r>
            <w:r>
              <w:rPr>
                <w:color w:val="404040" w:themeColor="text1" w:themeTint="BF"/>
                <w:sz w:val="20"/>
                <w:szCs w:val="20"/>
              </w:rPr>
              <w:t xml:space="preserve"> </w:t>
            </w:r>
            <w:r w:rsidRPr="00D90DD4">
              <w:rPr>
                <w:i/>
                <w:color w:val="767171" w:themeColor="background2" w:themeShade="80"/>
                <w:sz w:val="20"/>
                <w:szCs w:val="20"/>
              </w:rPr>
              <w:t xml:space="preserve">Tabernero J et al., Lancet Oncol. 2015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7">
              <w:r>
                <w:rPr>
                  <w:sz w:val="20"/>
                  <w:rStyle w:val="Hyperlink"/>
                </w:rPr>
                <w:t xml:space="preserve">31591063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erlotinib in patients with untreated, EGFR-mutated, advanced non-small-cell lung cancer (RELAY): a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Nakagawa K et al., Lancet Oncol. 2019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8">
              <w:r>
                <w:rPr>
                  <w:sz w:val="20"/>
                  <w:rStyle w:val="Hyperlink"/>
                </w:rPr>
                <w:t xml:space="preserve">23803182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inhibition of VEGF receptor 2: an update on ramucirumab.</w:t>
            </w:r>
            <w:r>
              <w:rPr>
                <w:color w:val="404040" w:themeColor="text1" w:themeTint="BF"/>
                <w:sz w:val="20"/>
                <w:szCs w:val="20"/>
              </w:rPr>
              <w:t xml:space="preserve"> </w:t>
            </w:r>
            <w:r w:rsidRPr="00D90DD4">
              <w:rPr>
                <w:i/>
                <w:color w:val="767171" w:themeColor="background2" w:themeShade="80"/>
                <w:sz w:val="20"/>
                <w:szCs w:val="20"/>
              </w:rPr>
              <w:t xml:space="preserve">Clarke JM et al., Expert Opin Biol Ther. 2013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9">
              <w:r>
                <w:rPr>
                  <w:sz w:val="20"/>
                  <w:rStyle w:val="Hyperlink"/>
                </w:rPr>
                <w:t xml:space="preserve">23881668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first global approval.</w:t>
            </w:r>
            <w:r>
              <w:rPr>
                <w:color w:val="404040" w:themeColor="text1" w:themeTint="BF"/>
                <w:sz w:val="20"/>
                <w:szCs w:val="20"/>
              </w:rPr>
              <w:t xml:space="preserve"> </w:t>
            </w:r>
            <w:r w:rsidRPr="00D90DD4">
              <w:rPr>
                <w:i/>
                <w:color w:val="767171" w:themeColor="background2" w:themeShade="80"/>
                <w:sz w:val="20"/>
                <w:szCs w:val="20"/>
              </w:rPr>
              <w:t xml:space="preserve">Ballantyne AD et al., Drugs. 2013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0">
              <w:r>
                <w:rPr>
                  <w:sz w:val="20"/>
                  <w:rStyle w:val="Hyperlink"/>
                </w:rPr>
                <w:t xml:space="preserve">22735384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in BRAF-mutated metastatic melanoma: a multicentre, open-label, phase 3 randomised controlled trial.</w:t>
            </w:r>
            <w:r>
              <w:rPr>
                <w:color w:val="404040" w:themeColor="text1" w:themeTint="BF"/>
                <w:sz w:val="20"/>
                <w:szCs w:val="20"/>
              </w:rPr>
              <w:t xml:space="preserve"> </w:t>
            </w:r>
            <w:r w:rsidRPr="00D90DD4">
              <w:rPr>
                <w:i/>
                <w:color w:val="767171" w:themeColor="background2" w:themeShade="80"/>
                <w:sz w:val="20"/>
                <w:szCs w:val="20"/>
              </w:rPr>
              <w:t xml:space="preserve">Hauschild A et al., Lancet. 2012 Jul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1">
              <w:r>
                <w:rPr>
                  <w:sz w:val="20"/>
                  <w:rStyle w:val="Hyperlink"/>
                </w:rPr>
                <w:t xml:space="preserve">24583796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and trametinib, alone and in combination for BRAF-mutant metastatic melanoma.</w:t>
            </w:r>
            <w:r>
              <w:rPr>
                <w:color w:val="404040" w:themeColor="text1" w:themeTint="BF"/>
                <w:sz w:val="20"/>
                <w:szCs w:val="20"/>
              </w:rPr>
              <w:t xml:space="preserve"> </w:t>
            </w:r>
            <w:r w:rsidRPr="00D90DD4">
              <w:rPr>
                <w:i/>
                <w:color w:val="767171" w:themeColor="background2" w:themeShade="80"/>
                <w:sz w:val="20"/>
                <w:szCs w:val="20"/>
              </w:rPr>
              <w:t xml:space="preserve">Menzies AM et al., Clin Cancer Res. 2014 Apr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2">
              <w:r>
                <w:rPr>
                  <w:sz w:val="20"/>
                  <w:rStyle w:val="Hyperlink"/>
                </w:rPr>
                <w:t xml:space="preserve">28475671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plus trametinib versus dabrafenib monotherapy in patients with metastatic BRAF V600E/K-mutant melanoma: long-term survival and safety analysis of a phase 3 study.</w:t>
            </w:r>
            <w:r>
              <w:rPr>
                <w:color w:val="404040" w:themeColor="text1" w:themeTint="BF"/>
                <w:sz w:val="20"/>
                <w:szCs w:val="20"/>
              </w:rPr>
              <w:t xml:space="preserve"> </w:t>
            </w:r>
            <w:r w:rsidRPr="00D90DD4">
              <w:rPr>
                <w:i/>
                <w:color w:val="767171" w:themeColor="background2" w:themeShade="80"/>
                <w:sz w:val="20"/>
                <w:szCs w:val="20"/>
              </w:rPr>
              <w:t xml:space="preserve">Long GV et al., Ann Oncol. 2017 Jul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3">
              <w:r>
                <w:rPr>
                  <w:sz w:val="20"/>
                  <w:rStyle w:val="Hyperlink"/>
                </w:rPr>
                <w:t xml:space="preserve">28891408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Adjuvant Dabrafenib plus Trametinib in Stage III BRAF-Mutated Melanoma.</w:t>
            </w:r>
            <w:r>
              <w:rPr>
                <w:color w:val="404040" w:themeColor="text1" w:themeTint="BF"/>
                <w:sz w:val="20"/>
                <w:szCs w:val="20"/>
              </w:rPr>
              <w:t xml:space="preserve"> </w:t>
            </w:r>
            <w:r w:rsidRPr="00D90DD4">
              <w:rPr>
                <w:i/>
                <w:color w:val="767171" w:themeColor="background2" w:themeShade="80"/>
                <w:sz w:val="20"/>
                <w:szCs w:val="20"/>
              </w:rPr>
              <w:t xml:space="preserve">Long GV et al., N Engl J Med. 2017 11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4">
              <w:r>
                <w:rPr>
                  <w:sz w:val="20"/>
                  <w:rStyle w:val="Hyperlink"/>
                </w:rPr>
                <w:t xml:space="preserve">29072975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and Trametinib Treatment in Patients With Locally Advanced or Metastatic BRAF V600-Mutant Anaplastic Thyroid Cancer.</w:t>
            </w:r>
            <w:r>
              <w:rPr>
                <w:color w:val="404040" w:themeColor="text1" w:themeTint="BF"/>
                <w:sz w:val="20"/>
                <w:szCs w:val="20"/>
              </w:rPr>
              <w:t xml:space="preserve"> </w:t>
            </w:r>
            <w:r w:rsidRPr="00D90DD4">
              <w:rPr>
                <w:i/>
                <w:color w:val="767171" w:themeColor="background2" w:themeShade="80"/>
                <w:sz w:val="20"/>
                <w:szCs w:val="20"/>
              </w:rPr>
              <w:t xml:space="preserve">Subbiah V et al., J Clin Oncol. 2018 01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5">
              <w:r>
                <w:rPr>
                  <w:sz w:val="20"/>
                  <w:rStyle w:val="Hyperlink"/>
                </w:rPr>
                <w:t xml:space="preserve">22131348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BRAF inhibitors: unraveling mechanisms and future treatment options.</w:t>
            </w:r>
            <w:r>
              <w:rPr>
                <w:color w:val="404040" w:themeColor="text1" w:themeTint="BF"/>
                <w:sz w:val="20"/>
                <w:szCs w:val="20"/>
              </w:rPr>
              <w:t xml:space="preserve"> </w:t>
            </w:r>
            <w:r w:rsidRPr="00D90DD4">
              <w:rPr>
                <w:i/>
                <w:color w:val="767171" w:themeColor="background2" w:themeShade="80"/>
                <w:sz w:val="20"/>
                <w:szCs w:val="20"/>
              </w:rPr>
              <w:t xml:space="preserve">Villanueva J et al., Cancer Res. 2011 Dec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6">
              <w:r>
                <w:rPr>
                  <w:sz w:val="20"/>
                  <w:rStyle w:val="Hyperlink"/>
                </w:rPr>
                <w:t xml:space="preserve">24265153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genetic landscape of clinical resistance to RAF inhibition in metastatic melanoma.</w:t>
            </w:r>
            <w:r>
              <w:rPr>
                <w:color w:val="404040" w:themeColor="text1" w:themeTint="BF"/>
                <w:sz w:val="20"/>
                <w:szCs w:val="20"/>
              </w:rPr>
              <w:t xml:space="preserve"> </w:t>
            </w:r>
            <w:r w:rsidRPr="00D90DD4">
              <w:rPr>
                <w:i/>
                <w:color w:val="767171" w:themeColor="background2" w:themeShade="80"/>
                <w:sz w:val="20"/>
                <w:szCs w:val="20"/>
              </w:rPr>
              <w:t xml:space="preserve">Van Allen EM et al., Cancer Discov. 2014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7">
              <w:r>
                <w:rPr>
                  <w:sz w:val="20"/>
                  <w:rStyle w:val="Hyperlink"/>
                </w:rPr>
                <w:t xml:space="preserve">24670642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Reversible and adaptive resistance to BRAF(V600E) inhibition in melanoma.</w:t>
            </w:r>
            <w:r>
              <w:rPr>
                <w:color w:val="404040" w:themeColor="text1" w:themeTint="BF"/>
                <w:sz w:val="20"/>
                <w:szCs w:val="20"/>
              </w:rPr>
              <w:t xml:space="preserve"> </w:t>
            </w:r>
            <w:r w:rsidRPr="00D90DD4">
              <w:rPr>
                <w:i/>
                <w:color w:val="767171" w:themeColor="background2" w:themeShade="80"/>
                <w:sz w:val="20"/>
                <w:szCs w:val="20"/>
              </w:rPr>
              <w:t xml:space="preserve">Sun C et al., Nature. 2014 Apr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8">
              <w:r>
                <w:rPr>
                  <w:sz w:val="20"/>
                  <w:rStyle w:val="Hyperlink"/>
                </w:rPr>
                <w:t xml:space="preserve">32368388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in malignant melanoma progression and metastasis: potentials and challenges.</w:t>
            </w:r>
            <w:r>
              <w:rPr>
                <w:color w:val="404040" w:themeColor="text1" w:themeTint="BF"/>
                <w:sz w:val="20"/>
                <w:szCs w:val="20"/>
              </w:rPr>
              <w:t xml:space="preserve"> </w:t>
            </w:r>
            <w:r w:rsidRPr="00D90DD4">
              <w:rPr>
                <w:i/>
                <w:color w:val="767171" w:themeColor="background2" w:themeShade="80"/>
                <w:sz w:val="20"/>
                <w:szCs w:val="20"/>
              </w:rPr>
              <w:t xml:space="preserve">Alqathama A, Am J Cancer Res.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9">
              <w:r>
                <w:rPr>
                  <w:sz w:val="20"/>
                  <w:rStyle w:val="Hyperlink"/>
                </w:rPr>
                <w:t xml:space="preserve">33419275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Implications of Acquired BRAF Inhibitors Resistance in Melanoma.</w:t>
            </w:r>
            <w:r>
              <w:rPr>
                <w:color w:val="404040" w:themeColor="text1" w:themeTint="BF"/>
                <w:sz w:val="20"/>
                <w:szCs w:val="20"/>
              </w:rPr>
              <w:t xml:space="preserve"> </w:t>
            </w:r>
            <w:r w:rsidRPr="00D90DD4">
              <w:rPr>
                <w:i/>
                <w:color w:val="767171" w:themeColor="background2" w:themeShade="80"/>
                <w:sz w:val="20"/>
                <w:szCs w:val="20"/>
              </w:rPr>
              <w:t xml:space="preserve">Savoia P et al., Int J Mol Sci. 2020 Dec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0">
              <w:r>
                <w:rPr>
                  <w:sz w:val="20"/>
                  <w:rStyle w:val="Hyperlink"/>
                </w:rPr>
                <w:t xml:space="preserve">32956754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mechanisms to targeted therapy in BRAF-mutant melanoma - A mini review.</w:t>
            </w:r>
            <w:r>
              <w:rPr>
                <w:color w:val="404040" w:themeColor="text1" w:themeTint="BF"/>
                <w:sz w:val="20"/>
                <w:szCs w:val="20"/>
              </w:rPr>
              <w:t xml:space="preserve"> </w:t>
            </w:r>
            <w:r w:rsidRPr="00D90DD4">
              <w:rPr>
                <w:i/>
                <w:color w:val="767171" w:themeColor="background2" w:themeShade="80"/>
                <w:sz w:val="20"/>
                <w:szCs w:val="20"/>
              </w:rPr>
              <w:t xml:space="preserve">Tangella LP et al., Biochim Biophys Acta Gen Subj. 2021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1">
              <w:r>
                <w:rPr>
                  <w:sz w:val="20"/>
                  <w:rStyle w:val="Hyperlink"/>
                </w:rPr>
                <w:t xml:space="preserve">5452114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Ease of habituation to repeated auditory and somesthetic stimulation in the human newborn.</w:t>
            </w:r>
            <w:r>
              <w:rPr>
                <w:color w:val="404040" w:themeColor="text1" w:themeTint="BF"/>
                <w:sz w:val="20"/>
                <w:szCs w:val="20"/>
              </w:rPr>
              <w:t xml:space="preserve"> </w:t>
            </w:r>
            <w:r w:rsidRPr="00D90DD4">
              <w:rPr>
                <w:i/>
                <w:color w:val="767171" w:themeColor="background2" w:themeShade="80"/>
                <w:sz w:val="20"/>
                <w:szCs w:val="20"/>
              </w:rPr>
              <w:t xml:space="preserve">Moreau T et al., J Exp Child Psychol. 1970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2">
              <w:r>
                <w:rPr>
                  <w:sz w:val="20"/>
                  <w:rStyle w:val="Hyperlink"/>
                </w:rPr>
                <w:t xml:space="preserve">23846731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first global approval.</w:t>
            </w:r>
            <w:r>
              <w:rPr>
                <w:color w:val="404040" w:themeColor="text1" w:themeTint="BF"/>
                <w:sz w:val="20"/>
                <w:szCs w:val="20"/>
              </w:rPr>
              <w:t xml:space="preserve"> </w:t>
            </w:r>
            <w:r w:rsidRPr="00D90DD4">
              <w:rPr>
                <w:i/>
                <w:color w:val="767171" w:themeColor="background2" w:themeShade="80"/>
                <w:sz w:val="20"/>
                <w:szCs w:val="20"/>
              </w:rPr>
              <w:t xml:space="preserve">Wright CJ et al., Drugs. 2013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3">
              <w:r>
                <w:rPr>
                  <w:sz w:val="20"/>
                  <w:rStyle w:val="Hyperlink"/>
                </w:rPr>
                <w:t xml:space="preserve">22805292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Activity of the oral MEK inhibitor trametinib in patients with advanced melanoma: a phase 1 dose-escalation trial.</w:t>
            </w:r>
            <w:r>
              <w:rPr>
                <w:color w:val="404040" w:themeColor="text1" w:themeTint="BF"/>
                <w:sz w:val="20"/>
                <w:szCs w:val="20"/>
              </w:rPr>
              <w:t xml:space="preserve"> </w:t>
            </w:r>
            <w:r w:rsidRPr="00D90DD4">
              <w:rPr>
                <w:i/>
                <w:color w:val="767171" w:themeColor="background2" w:themeShade="80"/>
                <w:sz w:val="20"/>
                <w:szCs w:val="20"/>
              </w:rPr>
              <w:t xml:space="preserve">Falchook GS et al., Lancet Oncol. 2012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4">
              <w:r>
                <w:rPr>
                  <w:sz w:val="20"/>
                  <w:rStyle w:val="Hyperlink"/>
                </w:rPr>
                <w:t xml:space="preserve">31249721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A Targeted Therapy in Metastatic Melanoma.</w:t>
            </w:r>
            <w:r>
              <w:rPr>
                <w:color w:val="404040" w:themeColor="text1" w:themeTint="BF"/>
                <w:sz w:val="20"/>
                <w:szCs w:val="20"/>
              </w:rPr>
              <w:t xml:space="preserve"> </w:t>
            </w:r>
            <w:r w:rsidRPr="00D90DD4">
              <w:rPr>
                <w:i/>
                <w:color w:val="767171" w:themeColor="background2" w:themeShade="80"/>
                <w:sz w:val="20"/>
                <w:szCs w:val="20"/>
              </w:rPr>
              <w:t xml:space="preserve">Hoffner B et al., J Adv Pract Oncol. 2018 Nov-Dec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5">
              <w:r>
                <w:rPr>
                  <w:sz w:val="20"/>
                  <w:rStyle w:val="Hyperlink"/>
                </w:rPr>
                <w:t xml:space="preserve">26347206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a MEK inhibitor for management of metastatic melanoma.</w:t>
            </w:r>
            <w:r>
              <w:rPr>
                <w:color w:val="404040" w:themeColor="text1" w:themeTint="BF"/>
                <w:sz w:val="20"/>
                <w:szCs w:val="20"/>
              </w:rPr>
              <w:t xml:space="preserve"> </w:t>
            </w:r>
            <w:r w:rsidRPr="00D90DD4">
              <w:rPr>
                <w:i/>
                <w:color w:val="767171" w:themeColor="background2" w:themeShade="80"/>
                <w:sz w:val="20"/>
                <w:szCs w:val="20"/>
              </w:rPr>
              <w:t xml:space="preserve">Lugowska I et al., Onco Targets Ther. 2015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6">
              <w:r>
                <w:rPr>
                  <w:sz w:val="20"/>
                  <w:rStyle w:val="Hyperlink"/>
                </w:rPr>
                <w:t xml:space="preserve">30690294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Five-year outcomes from a phase 3 METRIC study in patients with BRAF V600 E/K-mutant advanced or metastatic melanoma.</w:t>
            </w:r>
            <w:r>
              <w:rPr>
                <w:color w:val="404040" w:themeColor="text1" w:themeTint="BF"/>
                <w:sz w:val="20"/>
                <w:szCs w:val="20"/>
              </w:rPr>
              <w:t xml:space="preserve"> </w:t>
            </w:r>
            <w:r w:rsidRPr="00D90DD4">
              <w:rPr>
                <w:i/>
                <w:color w:val="767171" w:themeColor="background2" w:themeShade="80"/>
                <w:sz w:val="20"/>
                <w:szCs w:val="20"/>
              </w:rPr>
              <w:t xml:space="preserve">Robert C et al., Eur J Cancer. 2019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7">
              <w:r>
                <w:rPr>
                  <w:sz w:val="20"/>
                  <w:rStyle w:val="Hyperlink"/>
                </w:rPr>
                <w:t xml:space="preserve">22663011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Improved survival with MEK inhibition in BRAF-mutated melanoma.</w:t>
            </w:r>
            <w:r>
              <w:rPr>
                <w:color w:val="404040" w:themeColor="text1" w:themeTint="BF"/>
                <w:sz w:val="20"/>
                <w:szCs w:val="20"/>
              </w:rPr>
              <w:t xml:space="preserve"> </w:t>
            </w:r>
            <w:r w:rsidRPr="00D90DD4">
              <w:rPr>
                <w:i/>
                <w:color w:val="767171" w:themeColor="background2" w:themeShade="80"/>
                <w:sz w:val="20"/>
                <w:szCs w:val="20"/>
              </w:rPr>
              <w:t xml:space="preserve">Flaherty KT et al., N Engl J Med. 2012 Jul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8">
              <w:r>
                <w:rPr>
                  <w:sz w:val="20"/>
                  <w:rStyle w:val="Hyperlink"/>
                </w:rPr>
                <w:t xml:space="preserve">25265492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Combined BRAF and MEK inhibition versus BRAF inhibition alone in melanoma.</w:t>
            </w:r>
            <w:r>
              <w:rPr>
                <w:color w:val="404040" w:themeColor="text1" w:themeTint="BF"/>
                <w:sz w:val="20"/>
                <w:szCs w:val="20"/>
              </w:rPr>
              <w:t xml:space="preserve"> </w:t>
            </w:r>
            <w:r w:rsidRPr="00D90DD4">
              <w:rPr>
                <w:i/>
                <w:color w:val="767171" w:themeColor="background2" w:themeShade="80"/>
                <w:sz w:val="20"/>
                <w:szCs w:val="20"/>
              </w:rPr>
              <w:t xml:space="preserve">Long GV et al., N Engl J Med. 2014 Nov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9">
              <w:r>
                <w:rPr>
                  <w:sz w:val="20"/>
                  <w:rStyle w:val="Hyperlink"/>
                </w:rPr>
                <w:t xml:space="preserve">23020132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Combined BRAF and MEK inhibition in melanoma with BRAF V600 mutations.</w:t>
            </w:r>
            <w:r>
              <w:rPr>
                <w:color w:val="404040" w:themeColor="text1" w:themeTint="BF"/>
                <w:sz w:val="20"/>
                <w:szCs w:val="20"/>
              </w:rPr>
              <w:t xml:space="preserve"> </w:t>
            </w:r>
            <w:r w:rsidRPr="00D90DD4">
              <w:rPr>
                <w:i/>
                <w:color w:val="767171" w:themeColor="background2" w:themeShade="80"/>
                <w:sz w:val="20"/>
                <w:szCs w:val="20"/>
              </w:rPr>
              <w:t xml:space="preserve">Flaherty KT et al., N Engl J Med. 2012 11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0">
              <w:r>
                <w:rPr>
                  <w:sz w:val="20"/>
                  <w:rStyle w:val="Hyperlink"/>
                </w:rPr>
                <w:t xml:space="preserve">25452114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Increased MAPK reactivation in early resistance to dabrafenib/trametinib combination therapy of BRAF-mutant metastatic melanoma.</w:t>
            </w:r>
            <w:r>
              <w:rPr>
                <w:color w:val="404040" w:themeColor="text1" w:themeTint="BF"/>
                <w:sz w:val="20"/>
                <w:szCs w:val="20"/>
              </w:rPr>
              <w:t xml:space="preserve"> </w:t>
            </w:r>
            <w:r w:rsidRPr="00D90DD4">
              <w:rPr>
                <w:i/>
                <w:color w:val="767171" w:themeColor="background2" w:themeShade="80"/>
                <w:sz w:val="20"/>
                <w:szCs w:val="20"/>
              </w:rPr>
              <w:t xml:space="preserve">Long GV et al., Nat Commun. 2014 Dec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1">
              <w:r>
                <w:rPr>
                  <w:sz w:val="20"/>
                  <w:rStyle w:val="Hyperlink"/>
                </w:rPr>
                <w:t xml:space="preserve">33340965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MEK inhibitor resistance mechanisms and recent developments in combination trials.</w:t>
            </w:r>
            <w:r>
              <w:rPr>
                <w:color w:val="404040" w:themeColor="text1" w:themeTint="BF"/>
                <w:sz w:val="20"/>
                <w:szCs w:val="20"/>
              </w:rPr>
              <w:t xml:space="preserve"> </w:t>
            </w:r>
            <w:r w:rsidRPr="00D90DD4">
              <w:rPr>
                <w:i/>
                <w:color w:val="767171" w:themeColor="background2" w:themeShade="80"/>
                <w:sz w:val="20"/>
                <w:szCs w:val="20"/>
              </w:rPr>
              <w:t xml:space="preserve">Kun E et al., Cancer Treat Rev. 2021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2">
              <w:r>
                <w:rPr>
                  <w:sz w:val="20"/>
                  <w:rStyle w:val="Hyperlink"/>
                </w:rPr>
                <w:t xml:space="preserve">27028853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Comparative profiles of BRAF inhibitors: the paradox index as a predictor of clinical toxicity.</w:t>
            </w:r>
            <w:r>
              <w:rPr>
                <w:color w:val="404040" w:themeColor="text1" w:themeTint="BF"/>
                <w:sz w:val="20"/>
                <w:szCs w:val="20"/>
              </w:rPr>
              <w:t xml:space="preserve"> </w:t>
            </w:r>
            <w:r w:rsidRPr="00D90DD4">
              <w:rPr>
                <w:i/>
                <w:color w:val="767171" w:themeColor="background2" w:themeShade="80"/>
                <w:sz w:val="20"/>
                <w:szCs w:val="20"/>
              </w:rPr>
              <w:t xml:space="preserve">Adelmann CH et al., Oncotarget. 2016 May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3">
              <w:r>
                <w:rPr>
                  <w:sz w:val="20"/>
                  <w:rStyle w:val="Hyperlink"/>
                </w:rPr>
                <w:t xml:space="preserve">22067401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RAS mutations are associated with the development of cutaneous squamous cell tumors in patients treated with RAF inhibitors.</w:t>
            </w:r>
            <w:r>
              <w:rPr>
                <w:color w:val="404040" w:themeColor="text1" w:themeTint="BF"/>
                <w:sz w:val="20"/>
                <w:szCs w:val="20"/>
              </w:rPr>
              <w:t xml:space="preserve"> </w:t>
            </w:r>
            <w:r w:rsidRPr="00D90DD4">
              <w:rPr>
                <w:i/>
                <w:color w:val="767171" w:themeColor="background2" w:themeShade="80"/>
                <w:sz w:val="20"/>
                <w:szCs w:val="20"/>
              </w:rPr>
              <w:t xml:space="preserve">Oberholzer PA et al., J Clin Oncol. 2012 Jan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4">
              <w:r>
                <w:rPr>
                  <w:sz w:val="20"/>
                  <w:rStyle w:val="Hyperlink"/>
                </w:rPr>
                <w:t xml:space="preserve">22256804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RAS mutations in cutaneous squamous-cell carcinomas in patients treated with BRAF inhibitors.</w:t>
            </w:r>
            <w:r>
              <w:rPr>
                <w:color w:val="404040" w:themeColor="text1" w:themeTint="BF"/>
                <w:sz w:val="20"/>
                <w:szCs w:val="20"/>
              </w:rPr>
              <w:t xml:space="preserve"> </w:t>
            </w:r>
            <w:r w:rsidRPr="00D90DD4">
              <w:rPr>
                <w:i/>
                <w:color w:val="767171" w:themeColor="background2" w:themeShade="80"/>
                <w:sz w:val="20"/>
                <w:szCs w:val="20"/>
              </w:rPr>
              <w:t xml:space="preserve">Su F et al., N Engl J Med. 2012 Jan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5">
              <w:r>
                <w:rPr>
                  <w:sz w:val="20"/>
                  <w:rStyle w:val="Hyperlink"/>
                </w:rPr>
                <w:t xml:space="preserve">20130576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RAF inhibitors prime wild-type RAF to activate the MAPK pathway and enhance growth.</w:t>
            </w:r>
            <w:r>
              <w:rPr>
                <w:color w:val="404040" w:themeColor="text1" w:themeTint="BF"/>
                <w:sz w:val="20"/>
                <w:szCs w:val="20"/>
              </w:rPr>
              <w:t xml:space="preserve"> </w:t>
            </w:r>
            <w:r w:rsidRPr="00D90DD4">
              <w:rPr>
                <w:i/>
                <w:color w:val="767171" w:themeColor="background2" w:themeShade="80"/>
                <w:sz w:val="20"/>
                <w:szCs w:val="20"/>
              </w:rPr>
              <w:t xml:space="preserve">Hatzivassiliou G et al., Nature. 2010 Mar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6">
              <w:r>
                <w:rPr>
                  <w:sz w:val="20"/>
                  <w:rStyle w:val="Hyperlink"/>
                </w:rPr>
                <w:t xml:space="preserve">20179705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RAF inhibitors transactivate RAF dimers and ERK signalling in cells with wild-type BRAF.</w:t>
            </w:r>
            <w:r>
              <w:rPr>
                <w:color w:val="404040" w:themeColor="text1" w:themeTint="BF"/>
                <w:sz w:val="20"/>
                <w:szCs w:val="20"/>
              </w:rPr>
              <w:t xml:space="preserve"> </w:t>
            </w:r>
            <w:r w:rsidRPr="00D90DD4">
              <w:rPr>
                <w:i/>
                <w:color w:val="767171" w:themeColor="background2" w:themeShade="80"/>
                <w:sz w:val="20"/>
                <w:szCs w:val="20"/>
              </w:rPr>
              <w:t xml:space="preserve">Poulikakos PI et al., Nature. 2010 Mar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7">
              <w:r>
                <w:rPr>
                  <w:sz w:val="20"/>
                  <w:rStyle w:val="Hyperlink"/>
                </w:rPr>
                <w:t xml:space="preserve">25096067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vemurafenib for treatment of unresectable or metastatic melanoma with the BRAFV600E mutation.</w:t>
            </w:r>
            <w:r>
              <w:rPr>
                <w:color w:val="404040" w:themeColor="text1" w:themeTint="BF"/>
                <w:sz w:val="20"/>
                <w:szCs w:val="20"/>
              </w:rPr>
              <w:t xml:space="preserve"> </w:t>
            </w:r>
            <w:r w:rsidRPr="00D90DD4">
              <w:rPr>
                <w:i/>
                <w:color w:val="767171" w:themeColor="background2" w:themeShade="80"/>
                <w:sz w:val="20"/>
                <w:szCs w:val="20"/>
              </w:rPr>
              <w:t xml:space="preserve">Kim G et al., Clin Cancer Res. 2014 Oct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8">
              <w:r>
                <w:rPr>
                  <w:sz w:val="20"/>
                  <w:rStyle w:val="Hyperlink"/>
                </w:rPr>
                <w:t xml:space="preserve">22356324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Survival in BRAF V600-mutant advanced melanoma treated with vemurafenib.</w:t>
            </w:r>
            <w:r>
              <w:rPr>
                <w:color w:val="404040" w:themeColor="text1" w:themeTint="BF"/>
                <w:sz w:val="20"/>
                <w:szCs w:val="20"/>
              </w:rPr>
              <w:t xml:space="preserve"> </w:t>
            </w:r>
            <w:r w:rsidRPr="00D90DD4">
              <w:rPr>
                <w:i/>
                <w:color w:val="767171" w:themeColor="background2" w:themeShade="80"/>
                <w:sz w:val="20"/>
                <w:szCs w:val="20"/>
              </w:rPr>
              <w:t xml:space="preserve">Sosman JA et al., N Engl J Med. 2012 Feb 23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9">
              <w:r>
                <w:rPr>
                  <w:sz w:val="20"/>
                  <w:rStyle w:val="Hyperlink"/>
                </w:rPr>
                <w:t xml:space="preserve">29188284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Vemurafenib for BRAF V600-Mutant Erdheim-Chester Disease and Langerhans Cell Histiocytosis: Analysis of Data From the Histology-Independent, Phase 2, Open-label VE-BASKET Study.</w:t>
            </w:r>
            <w:r>
              <w:rPr>
                <w:color w:val="404040" w:themeColor="text1" w:themeTint="BF"/>
                <w:sz w:val="20"/>
                <w:szCs w:val="20"/>
              </w:rPr>
              <w:t xml:space="preserve"> </w:t>
            </w:r>
            <w:r w:rsidRPr="00D90DD4">
              <w:rPr>
                <w:i/>
                <w:color w:val="767171" w:themeColor="background2" w:themeShade="80"/>
                <w:sz w:val="20"/>
                <w:szCs w:val="20"/>
              </w:rPr>
              <w:t xml:space="preserve">Diamond EL et al., JAMA Oncol. 2018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0">
              <w:r>
                <w:rPr>
                  <w:sz w:val="20"/>
                  <w:rStyle w:val="Hyperlink"/>
                </w:rPr>
                <w:t xml:space="preserve">30120160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Vemurafenib for the Treatment of Patients with Erdheim-Chester Disease with the BRAFV600 Mutation.</w:t>
            </w:r>
            <w:r>
              <w:rPr>
                <w:color w:val="404040" w:themeColor="text1" w:themeTint="BF"/>
                <w:sz w:val="20"/>
                <w:szCs w:val="20"/>
              </w:rPr>
              <w:t xml:space="preserve"> </w:t>
            </w:r>
            <w:r w:rsidRPr="00D90DD4">
              <w:rPr>
                <w:i/>
                <w:color w:val="767171" w:themeColor="background2" w:themeShade="80"/>
                <w:sz w:val="20"/>
                <w:szCs w:val="20"/>
              </w:rPr>
              <w:t xml:space="preserve">Oneal PA et al., Oncologist. 2018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1">
              <w:r>
                <w:rPr>
                  <w:sz w:val="20"/>
                  <w:rStyle w:val="Hyperlink"/>
                </w:rPr>
                <w:t xml:space="preserve">25037139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Combination of vemurafenib and cobimetinib in patients with advanced BRAF(V600)-mutated melanoma: a phase 1b study.</w:t>
            </w:r>
            <w:r>
              <w:rPr>
                <w:color w:val="404040" w:themeColor="text1" w:themeTint="BF"/>
                <w:sz w:val="20"/>
                <w:szCs w:val="20"/>
              </w:rPr>
              <w:t xml:space="preserve"> </w:t>
            </w:r>
            <w:r w:rsidRPr="00D90DD4">
              <w:rPr>
                <w:i/>
                <w:color w:val="767171" w:themeColor="background2" w:themeShade="80"/>
                <w:sz w:val="20"/>
                <w:szCs w:val="20"/>
              </w:rPr>
              <w:t xml:space="preserve">Ribas A et al., Lancet Oncol. 2014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2">
              <w:r>
                <w:rPr>
                  <w:sz w:val="20"/>
                  <w:rStyle w:val="Hyperlink"/>
                </w:rPr>
                <w:t xml:space="preserve">27480103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Cobimetinib combined with vemurafenib in advanced BRAF(V600)-mutant melanoma (coBRIM): updated efficacy results from a randomised, double-blind, phase 3 trial.</w:t>
            </w:r>
            <w:r>
              <w:rPr>
                <w:color w:val="404040" w:themeColor="text1" w:themeTint="BF"/>
                <w:sz w:val="20"/>
                <w:szCs w:val="20"/>
              </w:rPr>
              <w:t xml:space="preserve"> </w:t>
            </w:r>
            <w:r w:rsidRPr="00D90DD4">
              <w:rPr>
                <w:i/>
                <w:color w:val="767171" w:themeColor="background2" w:themeShade="80"/>
                <w:sz w:val="20"/>
                <w:szCs w:val="20"/>
              </w:rPr>
              <w:t xml:space="preserve">Ascierto PA et al., Lancet Oncol. 2016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3">
              <w:r>
                <w:rPr>
                  <w:sz w:val="20"/>
                  <w:rStyle w:val="Hyperlink"/>
                </w:rPr>
                <w:t xml:space="preserve">25265494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Combined vemurafenib and cobimetinib in BRAF-mutated melanoma.</w:t>
            </w:r>
            <w:r>
              <w:rPr>
                <w:color w:val="404040" w:themeColor="text1" w:themeTint="BF"/>
                <w:sz w:val="20"/>
                <w:szCs w:val="20"/>
              </w:rPr>
              <w:t xml:space="preserve"> </w:t>
            </w:r>
            <w:r w:rsidRPr="00D90DD4">
              <w:rPr>
                <w:i/>
                <w:color w:val="767171" w:themeColor="background2" w:themeShade="80"/>
                <w:sz w:val="20"/>
                <w:szCs w:val="20"/>
              </w:rPr>
              <w:t xml:space="preserve">Larkin J et al., N Engl J Med. 2014 Nov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4">
              <w:r>
                <w:rPr>
                  <w:sz w:val="20"/>
                  <w:rStyle w:val="Hyperlink"/>
                </w:rPr>
                <w:t xml:space="preserve">33604667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Identification of pathways modulating vemurafenib resistance in melanoma cells via a genome-wide CRISPR/Cas9 screen.</w:t>
            </w:r>
            <w:r>
              <w:rPr>
                <w:color w:val="404040" w:themeColor="text1" w:themeTint="BF"/>
                <w:sz w:val="20"/>
                <w:szCs w:val="20"/>
              </w:rPr>
              <w:t xml:space="preserve"> </w:t>
            </w:r>
            <w:r w:rsidRPr="00D90DD4">
              <w:rPr>
                <w:i/>
                <w:color w:val="767171" w:themeColor="background2" w:themeShade="80"/>
                <w:sz w:val="20"/>
                <w:szCs w:val="20"/>
              </w:rPr>
              <w:t xml:space="preserve">Goh CJH et al., G3 (Bethesda). 2021 02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5">
              <w:r>
                <w:rPr>
                  <w:sz w:val="20"/>
                  <w:rStyle w:val="Hyperlink"/>
                </w:rPr>
                <w:t xml:space="preserve">33503393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Encorafenib Plus Cetuximab as a New Standard of Care for Previously Treated BRAF V600E-Mutant Metastatic Colorectal Cancer: Updated Survival Results and Subgroup Analyses from the BEACON Study.</w:t>
            </w:r>
            <w:r>
              <w:rPr>
                <w:color w:val="404040" w:themeColor="text1" w:themeTint="BF"/>
                <w:sz w:val="20"/>
                <w:szCs w:val="20"/>
              </w:rPr>
              <w:t xml:space="preserve"> </w:t>
            </w:r>
            <w:r w:rsidRPr="00D90DD4">
              <w:rPr>
                <w:i/>
                <w:color w:val="767171" w:themeColor="background2" w:themeShade="80"/>
                <w:sz w:val="20"/>
                <w:szCs w:val="20"/>
              </w:rPr>
              <w:t xml:space="preserve">Tabernero J et al., J Clin Oncol. 2021 02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6">
              <w:r>
                <w:rPr>
                  <w:sz w:val="20"/>
                  <w:rStyle w:val="Hyperlink"/>
                </w:rPr>
                <w:t xml:space="preserve">30892987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Binimetinib, Encorafenib, and Cetuximab Triplet Therapy for Patients WithV600E-Mutant Metastatic Colorectal Cancer: Safety Lead-In Results From the Phase III BEACON Colorectal Cancer Study.</w:t>
            </w:r>
            <w:r>
              <w:rPr>
                <w:color w:val="404040" w:themeColor="text1" w:themeTint="BF"/>
                <w:sz w:val="20"/>
                <w:szCs w:val="20"/>
              </w:rPr>
              <w:t xml:space="preserve"> </w:t>
            </w:r>
            <w:r w:rsidRPr="00D90DD4">
              <w:rPr>
                <w:i/>
                <w:color w:val="767171" w:themeColor="background2" w:themeShade="80"/>
                <w:sz w:val="20"/>
                <w:szCs w:val="20"/>
              </w:rPr>
              <w:t xml:space="preserve">Van Cutsem E et al., J Clin Oncol. 2019 06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7">
              <w:r>
                <w:rPr>
                  <w:sz w:val="20"/>
                  <w:rStyle w:val="Hyperlink"/>
                </w:rPr>
                <w:t xml:space="preserve">31566309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Encorafenib, Binimetinib, and Cetuximab inV600E-Mutated Colorectal Cancer.</w:t>
            </w:r>
            <w:r>
              <w:rPr>
                <w:color w:val="404040" w:themeColor="text1" w:themeTint="BF"/>
                <w:sz w:val="20"/>
                <w:szCs w:val="20"/>
              </w:rPr>
              <w:t xml:space="preserve"> </w:t>
            </w:r>
            <w:r w:rsidRPr="00D90DD4">
              <w:rPr>
                <w:i/>
                <w:color w:val="767171" w:themeColor="background2" w:themeShade="80"/>
                <w:sz w:val="20"/>
                <w:szCs w:val="20"/>
              </w:rPr>
              <w:t xml:space="preserve">Kopetz S et al., N Engl J Med. 2019 10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8">
              <w:r>
                <w:rPr>
                  <w:sz w:val="20"/>
                  <w:rStyle w:val="Hyperlink"/>
                </w:rPr>
                <w:t xml:space="preserve">28363909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Ib Dose-Escalation Study of Encorafenib and Cetuximab with or without Alpelisib in Metastatic-Mutant Colorectal Cancer.</w:t>
            </w:r>
            <w:r>
              <w:rPr>
                <w:color w:val="404040" w:themeColor="text1" w:themeTint="BF"/>
                <w:sz w:val="20"/>
                <w:szCs w:val="20"/>
              </w:rPr>
              <w:t xml:space="preserve"> </w:t>
            </w:r>
            <w:r w:rsidRPr="00D90DD4">
              <w:rPr>
                <w:i/>
                <w:color w:val="767171" w:themeColor="background2" w:themeShade="80"/>
                <w:sz w:val="20"/>
                <w:szCs w:val="20"/>
              </w:rPr>
              <w:t xml:space="preserve">van Geel RMJM et al., Cancer Discov. 2017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9">
              <w:r>
                <w:rPr>
                  <w:sz w:val="20"/>
                  <w:rStyle w:val="Hyperlink"/>
                </w:rPr>
                <w:t xml:space="preserve">33204026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Mutational profiles associated with resistance in patients with BRAFV600E mutant colorectal cancer treated with cetuximab and encorafenib +/- binimetinib or alpelisib.</w:t>
            </w:r>
            <w:r>
              <w:rPr>
                <w:color w:val="404040" w:themeColor="text1" w:themeTint="BF"/>
                <w:sz w:val="20"/>
                <w:szCs w:val="20"/>
              </w:rPr>
              <w:t xml:space="preserve"> </w:t>
            </w:r>
            <w:r w:rsidRPr="00D90DD4">
              <w:rPr>
                <w:i/>
                <w:color w:val="767171" w:themeColor="background2" w:themeShade="80"/>
                <w:sz w:val="20"/>
                <w:szCs w:val="20"/>
              </w:rPr>
              <w:t xml:space="preserve">Huijberts SCFA et al., Br J Cancer. 2021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0">
              <w:r>
                <w:rPr>
                  <w:sz w:val="20"/>
                  <w:rStyle w:val="Hyperlink"/>
                </w:rPr>
                <w:t xml:space="preserve">32249628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discovery and development of binimetinib for the treatment of melanoma.</w:t>
            </w:r>
            <w:r>
              <w:rPr>
                <w:color w:val="404040" w:themeColor="text1" w:themeTint="BF"/>
                <w:sz w:val="20"/>
                <w:szCs w:val="20"/>
              </w:rPr>
              <w:t xml:space="preserve"> </w:t>
            </w:r>
            <w:r w:rsidRPr="00D90DD4">
              <w:rPr>
                <w:i/>
                <w:color w:val="767171" w:themeColor="background2" w:themeShade="80"/>
                <w:sz w:val="20"/>
                <w:szCs w:val="20"/>
              </w:rPr>
              <w:t xml:space="preserve">Tran B et al., Expert Opin Drug Discov. 2020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1">
              <w:r>
                <w:rPr>
                  <w:sz w:val="20"/>
                  <w:rStyle w:val="Hyperlink"/>
                </w:rPr>
                <w:t xml:space="preserve">30881167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How the discovery of rituximab impacted the treatment of B-cell non-Hodgkin's lymphomas.</w:t>
            </w:r>
            <w:r>
              <w:rPr>
                <w:color w:val="404040" w:themeColor="text1" w:themeTint="BF"/>
                <w:sz w:val="20"/>
                <w:szCs w:val="20"/>
              </w:rPr>
              <w:t xml:space="preserve"> </w:t>
            </w:r>
            <w:r w:rsidRPr="00D90DD4">
              <w:rPr>
                <w:i/>
                <w:color w:val="767171" w:themeColor="background2" w:themeShade="80"/>
                <w:sz w:val="20"/>
                <w:szCs w:val="20"/>
              </w:rPr>
              <w:t xml:space="preserve">Mohammed R et al., J Blood Med.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2">
              <w:r>
                <w:rPr>
                  <w:sz w:val="20"/>
                  <w:rStyle w:val="Hyperlink"/>
                </w:rPr>
                <w:t xml:space="preserve">28983798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Rituximab in B-Cell Hematologic Malignancies: A Review of 20 Years of Clinical Experience.</w:t>
            </w:r>
            <w:r>
              <w:rPr>
                <w:color w:val="404040" w:themeColor="text1" w:themeTint="BF"/>
                <w:sz w:val="20"/>
                <w:szCs w:val="20"/>
              </w:rPr>
              <w:t xml:space="preserve"> </w:t>
            </w:r>
            <w:r w:rsidRPr="00D90DD4">
              <w:rPr>
                <w:i/>
                <w:color w:val="767171" w:themeColor="background2" w:themeShade="80"/>
                <w:sz w:val="20"/>
                <w:szCs w:val="20"/>
              </w:rPr>
              <w:t xml:space="preserve">Salles G et al., Adv Ther. 2017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3">
              <w:r>
                <w:rPr>
                  <w:sz w:val="20"/>
                  <w:rStyle w:val="Hyperlink"/>
                </w:rPr>
                <w:t xml:space="preserve">26443686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molecular perspective on rituximab: A monoclonal antibody for B cell non Hodgkin lymphoma and other affections.</w:t>
            </w:r>
            <w:r>
              <w:rPr>
                <w:color w:val="404040" w:themeColor="text1" w:themeTint="BF"/>
                <w:sz w:val="20"/>
                <w:szCs w:val="20"/>
              </w:rPr>
              <w:t xml:space="preserve"> </w:t>
            </w:r>
            <w:r w:rsidRPr="00D90DD4">
              <w:rPr>
                <w:i/>
                <w:color w:val="767171" w:themeColor="background2" w:themeShade="80"/>
                <w:sz w:val="20"/>
                <w:szCs w:val="20"/>
              </w:rPr>
              <w:t xml:space="preserve">Seyfizadeh N et al., Crit Rev Oncol Hematol. 2016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4">
              <w:r>
                <w:rPr>
                  <w:sz w:val="20"/>
                  <w:rStyle w:val="Hyperlink"/>
                </w:rPr>
                <w:t xml:space="preserve">24528902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Rituximab for non-Hodgkin's lymphoma: a story of rapid success in translation.</w:t>
            </w:r>
            <w:r>
              <w:rPr>
                <w:color w:val="404040" w:themeColor="text1" w:themeTint="BF"/>
                <w:sz w:val="20"/>
                <w:szCs w:val="20"/>
              </w:rPr>
              <w:t xml:space="preserve"> </w:t>
            </w:r>
            <w:r w:rsidRPr="00D90DD4">
              <w:rPr>
                <w:i/>
                <w:color w:val="767171" w:themeColor="background2" w:themeShade="80"/>
                <w:sz w:val="20"/>
                <w:szCs w:val="20"/>
              </w:rPr>
              <w:t xml:space="preserve">Harrison AM et al., Clin Transl Sci. 2014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5">
              <w:r>
                <w:rPr>
                  <w:sz w:val="20"/>
                  <w:rStyle w:val="Hyperlink"/>
                </w:rPr>
                <w:t xml:space="preserve">30096012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Anti-CD20 monoclonal antibodies: reviewing a revolution.</w:t>
            </w:r>
            <w:r>
              <w:rPr>
                <w:color w:val="404040" w:themeColor="text1" w:themeTint="BF"/>
                <w:sz w:val="20"/>
                <w:szCs w:val="20"/>
              </w:rPr>
              <w:t xml:space="preserve"> </w:t>
            </w:r>
            <w:r w:rsidRPr="00D90DD4">
              <w:rPr>
                <w:i/>
                <w:color w:val="767171" w:themeColor="background2" w:themeShade="80"/>
                <w:sz w:val="20"/>
                <w:szCs w:val="20"/>
              </w:rPr>
              <w:t xml:space="preserve">Casan JML et al., Hum Vaccin Immunother. 2018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6">
              <w:r>
                <w:rPr>
                  <w:sz w:val="20"/>
                  <w:rStyle w:val="Hyperlink"/>
                </w:rPr>
                <w:t xml:space="preserve">32296035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Advances in targeted therapy for malignant lymphoma.</w:t>
            </w:r>
            <w:r>
              <w:rPr>
                <w:color w:val="404040" w:themeColor="text1" w:themeTint="BF"/>
                <w:sz w:val="20"/>
                <w:szCs w:val="20"/>
              </w:rPr>
              <w:t xml:space="preserve"> </w:t>
            </w:r>
            <w:r w:rsidRPr="00D90DD4">
              <w:rPr>
                <w:i/>
                <w:color w:val="767171" w:themeColor="background2" w:themeShade="80"/>
                <w:sz w:val="20"/>
                <w:szCs w:val="20"/>
              </w:rPr>
              <w:t xml:space="preserve">Wang L et al., Signal Transduct Target Ther. 2020 03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7">
              <w:r>
                <w:rPr>
                  <w:sz w:val="20"/>
                  <w:rStyle w:val="Hyperlink"/>
                </w:rPr>
                <w:t xml:space="preserve">25882396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Chlorambucil plus ofatumumab versus chlorambucil alone in previously untreated patients with chronic lymphocytic leukaemia (COMPLEMENT 1): a randomised, multicentre, open-label phase 3 trial.</w:t>
            </w:r>
            <w:r>
              <w:rPr>
                <w:color w:val="404040" w:themeColor="text1" w:themeTint="BF"/>
                <w:sz w:val="20"/>
                <w:szCs w:val="20"/>
              </w:rPr>
              <w:t xml:space="preserve"> </w:t>
            </w:r>
            <w:r w:rsidRPr="00D90DD4">
              <w:rPr>
                <w:i/>
                <w:color w:val="767171" w:themeColor="background2" w:themeShade="80"/>
                <w:sz w:val="20"/>
                <w:szCs w:val="20"/>
              </w:rPr>
              <w:t xml:space="preserve">Hillmen P et al., Lancet. 2015 May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8">
              <w:r>
                <w:rPr>
                  <w:sz w:val="20"/>
                  <w:rStyle w:val="Hyperlink"/>
                </w:rPr>
                <w:t xml:space="preserve">26377300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Ofatumumab maintenance versus observation in relapsed chronic lymphocytic leukaemia (PROLONG): an open-label, multicentre, randomised phase 3 study.</w:t>
            </w:r>
            <w:r>
              <w:rPr>
                <w:color w:val="404040" w:themeColor="text1" w:themeTint="BF"/>
                <w:sz w:val="20"/>
                <w:szCs w:val="20"/>
              </w:rPr>
              <w:t xml:space="preserve"> </w:t>
            </w:r>
            <w:r w:rsidRPr="00D90DD4">
              <w:rPr>
                <w:i/>
                <w:color w:val="767171" w:themeColor="background2" w:themeShade="80"/>
                <w:sz w:val="20"/>
                <w:szCs w:val="20"/>
              </w:rPr>
              <w:t xml:space="preserve">van Oers MH et al., Lancet Oncol. 2015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9">
              <w:r>
                <w:rPr>
                  <w:sz w:val="20"/>
                  <w:rStyle w:val="Hyperlink"/>
                </w:rPr>
                <w:t xml:space="preserve">20601446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U.S. Food and Drug Administration approval: ofatumumab for the treatment of patients with chronic lymphocytic leukemia refractory to fludarabine and alemtuzumab.</w:t>
            </w:r>
            <w:r>
              <w:rPr>
                <w:color w:val="404040" w:themeColor="text1" w:themeTint="BF"/>
                <w:sz w:val="20"/>
                <w:szCs w:val="20"/>
              </w:rPr>
              <w:t xml:space="preserve"> </w:t>
            </w:r>
            <w:r w:rsidRPr="00D90DD4">
              <w:rPr>
                <w:i/>
                <w:color w:val="767171" w:themeColor="background2" w:themeShade="80"/>
                <w:sz w:val="20"/>
                <w:szCs w:val="20"/>
              </w:rPr>
              <w:t xml:space="preserve">Lemery SJ et al., Clin Cancer Res. 2010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0">
              <w:r>
                <w:rPr>
                  <w:sz w:val="20"/>
                  <w:rStyle w:val="Hyperlink"/>
                </w:rPr>
                <w:t xml:space="preserve">32933335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Anti-CD20 treatment for B-cell malignancies: current status and future directions.</w:t>
            </w:r>
            <w:r>
              <w:rPr>
                <w:color w:val="404040" w:themeColor="text1" w:themeTint="BF"/>
                <w:sz w:val="20"/>
                <w:szCs w:val="20"/>
              </w:rPr>
              <w:t xml:space="preserve"> </w:t>
            </w:r>
            <w:r w:rsidRPr="00D90DD4">
              <w:rPr>
                <w:i/>
                <w:color w:val="767171" w:themeColor="background2" w:themeShade="80"/>
                <w:sz w:val="20"/>
                <w:szCs w:val="20"/>
              </w:rPr>
              <w:t xml:space="preserve">Klein C et al., Expert Opin Biol Ther.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1">
              <w:r>
                <w:rPr>
                  <w:sz w:val="20"/>
                  <w:rStyle w:val="Hyperlink"/>
                </w:rPr>
                <w:t xml:space="preserve">31352604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Polatuzumab Vedotin: First Global Approval.</w:t>
            </w:r>
            <w:r>
              <w:rPr>
                <w:color w:val="404040" w:themeColor="text1" w:themeTint="BF"/>
                <w:sz w:val="20"/>
                <w:szCs w:val="20"/>
              </w:rPr>
              <w:t xml:space="preserve"> </w:t>
            </w:r>
            <w:r w:rsidRPr="00D90DD4">
              <w:rPr>
                <w:i/>
                <w:color w:val="767171" w:themeColor="background2" w:themeShade="80"/>
                <w:sz w:val="20"/>
                <w:szCs w:val="20"/>
              </w:rPr>
              <w:t xml:space="preserve">Deeks ED, Drugs. 2019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2">
              <w:r>
                <w:rPr>
                  <w:sz w:val="20"/>
                  <w:rStyle w:val="Hyperlink"/>
                </w:rPr>
                <w:t xml:space="preserve">31693429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Polatuzumab Vedotin in Relapsed or Refractory Diffuse Large B-Cell Lymphoma.</w:t>
            </w:r>
            <w:r>
              <w:rPr>
                <w:color w:val="404040" w:themeColor="text1" w:themeTint="BF"/>
                <w:sz w:val="20"/>
                <w:szCs w:val="20"/>
              </w:rPr>
              <w:t xml:space="preserve"> </w:t>
            </w:r>
            <w:r w:rsidRPr="00D90DD4">
              <w:rPr>
                <w:i/>
                <w:color w:val="767171" w:themeColor="background2" w:themeShade="80"/>
                <w:sz w:val="20"/>
                <w:szCs w:val="20"/>
              </w:rPr>
              <w:t xml:space="preserve">Sehn LH et al., J Clin Oncol. 2020 01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3">
              <w:r>
                <w:rPr>
                  <w:sz w:val="20"/>
                  <w:rStyle w:val="Hyperlink"/>
                </w:rPr>
                <w:t xml:space="preserve">29856685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3 Trial of Ibrutinib plus Rituximab in Waldenström's Macroglobulinemia.</w:t>
            </w:r>
            <w:r>
              <w:rPr>
                <w:color w:val="404040" w:themeColor="text1" w:themeTint="BF"/>
                <w:sz w:val="20"/>
                <w:szCs w:val="20"/>
              </w:rPr>
              <w:t xml:space="preserve"> </w:t>
            </w:r>
            <w:r w:rsidRPr="00D90DD4">
              <w:rPr>
                <w:i/>
                <w:color w:val="767171" w:themeColor="background2" w:themeShade="80"/>
                <w:sz w:val="20"/>
                <w:szCs w:val="20"/>
              </w:rPr>
              <w:t xml:space="preserve">Dimopoulos MA et al., N Engl J Med. 2018 Jun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4">
              <w:r>
                <w:rPr>
                  <w:sz w:val="20"/>
                  <w:rStyle w:val="Hyperlink"/>
                </w:rPr>
                <w:t xml:space="preserve">34606378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Ibrutinib Plus Rituximab Versus Placebo Plus Rituximab for Waldenström's Macroglobulinemia: Final Analysis From the Randomized Phase III iNNOVATE Study.</w:t>
            </w:r>
            <w:r>
              <w:rPr>
                <w:color w:val="404040" w:themeColor="text1" w:themeTint="BF"/>
                <w:sz w:val="20"/>
                <w:szCs w:val="20"/>
              </w:rPr>
              <w:t xml:space="preserve"> </w:t>
            </w:r>
            <w:r w:rsidRPr="00D90DD4">
              <w:rPr>
                <w:i/>
                <w:color w:val="767171" w:themeColor="background2" w:themeShade="80"/>
                <w:sz w:val="20"/>
                <w:szCs w:val="20"/>
              </w:rPr>
              <w:t xml:space="preserve">Buske C et al., J Clin Oncol. 2022 01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5">
              <w:r>
                <w:rPr>
                  <w:sz w:val="20"/>
                  <w:rStyle w:val="Hyperlink"/>
                </w:rPr>
                <w:t xml:space="preserve">30218345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 Update of Efficacy and Safety of Cetuximab in Metastatic Colorectal Cancer: A Narrative Review.</w:t>
            </w:r>
            <w:r>
              <w:rPr>
                <w:color w:val="404040" w:themeColor="text1" w:themeTint="BF"/>
                <w:sz w:val="20"/>
                <w:szCs w:val="20"/>
              </w:rPr>
              <w:t xml:space="preserve"> </w:t>
            </w:r>
            <w:r w:rsidRPr="00D90DD4">
              <w:rPr>
                <w:i/>
                <w:color w:val="767171" w:themeColor="background2" w:themeShade="80"/>
                <w:sz w:val="20"/>
                <w:szCs w:val="20"/>
              </w:rPr>
              <w:t xml:space="preserve">Fornasier G et al., Adv Ther. 2018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6">
              <w:r>
                <w:rPr>
                  <w:sz w:val="20"/>
                  <w:rStyle w:val="Hyperlink"/>
                </w:rPr>
                <w:t xml:space="preserve">31616627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Distinguishing Features of Cetuximab and Panitumumab in Colorectal Cancer and Other Solid Tumors.</w:t>
            </w:r>
            <w:r>
              <w:rPr>
                <w:color w:val="404040" w:themeColor="text1" w:themeTint="BF"/>
                <w:sz w:val="20"/>
                <w:szCs w:val="20"/>
              </w:rPr>
              <w:t xml:space="preserve"> </w:t>
            </w:r>
            <w:r w:rsidRPr="00D90DD4">
              <w:rPr>
                <w:i/>
                <w:color w:val="767171" w:themeColor="background2" w:themeShade="80"/>
                <w:sz w:val="20"/>
                <w:szCs w:val="20"/>
              </w:rPr>
              <w:t xml:space="preserve">García-Foncillas J et al., Front Oncol.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7">
              <w:r>
                <w:rPr>
                  <w:sz w:val="20"/>
                  <w:rStyle w:val="Hyperlink"/>
                </w:rPr>
                <w:t xml:space="preserve">16336752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Overview of monoclonal antibodies and small molecules targeting the epidermal growth factor receptor pathway in colorectal cancer.</w:t>
            </w:r>
            <w:r>
              <w:rPr>
                <w:color w:val="404040" w:themeColor="text1" w:themeTint="BF"/>
                <w:sz w:val="20"/>
                <w:szCs w:val="20"/>
              </w:rPr>
              <w:t xml:space="preserve"> </w:t>
            </w:r>
            <w:r w:rsidRPr="00D90DD4">
              <w:rPr>
                <w:i/>
                <w:color w:val="767171" w:themeColor="background2" w:themeShade="80"/>
                <w:sz w:val="20"/>
                <w:szCs w:val="20"/>
              </w:rPr>
              <w:t xml:space="preserve">Snyder LC et al., Clin Colorectal Cancer. 2005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8">
              <w:r>
                <w:rPr>
                  <w:sz w:val="20"/>
                  <w:rStyle w:val="Hyperlink"/>
                </w:rPr>
                <w:t xml:space="preserve">15821783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Cetuximab: an epidermal growth factor receptor chemeric human-murine monoclonal antibody.</w:t>
            </w:r>
            <w:r>
              <w:rPr>
                <w:color w:val="404040" w:themeColor="text1" w:themeTint="BF"/>
                <w:sz w:val="20"/>
                <w:szCs w:val="20"/>
              </w:rPr>
              <w:t xml:space="preserve"> </w:t>
            </w:r>
            <w:r w:rsidRPr="00D90DD4">
              <w:rPr>
                <w:i/>
                <w:color w:val="767171" w:themeColor="background2" w:themeShade="80"/>
                <w:sz w:val="20"/>
                <w:szCs w:val="20"/>
              </w:rPr>
              <w:t xml:space="preserve">Harding J et al., Drugs Today (Barc). 2005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9">
              <w:r>
                <w:rPr>
                  <w:sz w:val="20"/>
                  <w:rStyle w:val="Hyperlink"/>
                </w:rPr>
                <w:t xml:space="preserve">33237690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Cetuximab Therapy and RAS andGenotype</w:t>
            </w:r>
            <w:r>
              <w:rPr>
                <w:color w:val="404040" w:themeColor="text1" w:themeTint="BF"/>
                <w:sz w:val="20"/>
                <w:szCs w:val="20"/>
              </w:rPr>
              <w:t xml:space="preserve"> </w:t>
            </w:r>
            <w:r w:rsidRPr="00D90DD4">
              <w:rPr>
                <w:i/>
                <w:color w:val="767171" w:themeColor="background2" w:themeShade="80"/>
                <w:sz w:val="20"/>
                <w:szCs w:val="20"/>
              </w:rPr>
              <w:t xml:space="preserve">Dean L et al., National Center for Biotechnology Information (US) 2012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0">
              <w:r>
                <w:rPr>
                  <w:sz w:val="20"/>
                  <w:rStyle w:val="Hyperlink"/>
                </w:rPr>
                <w:t xml:space="preserve">33833048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Improving selection of patients with metastatic colorectal cancer to benefit from cetuximab based on KIR genotypes.</w:t>
            </w:r>
            <w:r>
              <w:rPr>
                <w:color w:val="404040" w:themeColor="text1" w:themeTint="BF"/>
                <w:sz w:val="20"/>
                <w:szCs w:val="20"/>
              </w:rPr>
              <w:t xml:space="preserve"> </w:t>
            </w:r>
            <w:r w:rsidRPr="00D90DD4">
              <w:rPr>
                <w:i/>
                <w:color w:val="767171" w:themeColor="background2" w:themeShade="80"/>
                <w:sz w:val="20"/>
                <w:szCs w:val="20"/>
              </w:rPr>
              <w:t xml:space="preserve">Manzanares-Martin B et al., J Immunother Cancer. 2021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1">
              <w:r>
                <w:rPr>
                  <w:sz w:val="20"/>
                  <w:rStyle w:val="Hyperlink"/>
                </w:rPr>
                <w:t xml:space="preserve">33154570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FOLFIRI plus cetuximab or bevacizumab for advanced colorectal cancer: final survival and per-protocol analysis of FIRE-3, a randomised clinical trial.</w:t>
            </w:r>
            <w:r>
              <w:rPr>
                <w:color w:val="404040" w:themeColor="text1" w:themeTint="BF"/>
                <w:sz w:val="20"/>
                <w:szCs w:val="20"/>
              </w:rPr>
              <w:t xml:space="preserve"> </w:t>
            </w:r>
            <w:r w:rsidRPr="00D90DD4">
              <w:rPr>
                <w:i/>
                <w:color w:val="767171" w:themeColor="background2" w:themeShade="80"/>
                <w:sz w:val="20"/>
                <w:szCs w:val="20"/>
              </w:rPr>
              <w:t xml:space="preserve">Heinemann V et al., Br J Cancer.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2">
              <w:r>
                <w:rPr>
                  <w:sz w:val="20"/>
                  <w:rStyle w:val="Hyperlink"/>
                </w:rPr>
                <w:t xml:space="preserve">34896698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Management of adverse events from the treatment of encorafenib plus cetuximab for patients with BRAF V600E-mutant metastatic colorectal cancer: insights from the BEACON CRC study.</w:t>
            </w:r>
            <w:r>
              <w:rPr>
                <w:color w:val="404040" w:themeColor="text1" w:themeTint="BF"/>
                <w:sz w:val="20"/>
                <w:szCs w:val="20"/>
              </w:rPr>
              <w:t xml:space="preserve"> </w:t>
            </w:r>
            <w:r w:rsidRPr="00D90DD4">
              <w:rPr>
                <w:i/>
                <w:color w:val="767171" w:themeColor="background2" w:themeShade="80"/>
                <w:sz w:val="20"/>
                <w:szCs w:val="20"/>
              </w:rPr>
              <w:t xml:space="preserve">Tabernero J et al., ESMO Open. 2021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3">
              <w:r>
                <w:rPr>
                  <w:sz w:val="20"/>
                  <w:rStyle w:val="Hyperlink"/>
                </w:rPr>
                <w:t xml:space="preserve">34482179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randomized phase II study comparing the efficacy and safety of the glyco-optimized anti-EGFR antibody tomuzotuximab against cetuximab in patients with recurrent and/or metastatic squamous cell cancer of the head and neck - the RESGEX study.</w:t>
            </w:r>
            <w:r>
              <w:rPr>
                <w:color w:val="404040" w:themeColor="text1" w:themeTint="BF"/>
                <w:sz w:val="20"/>
                <w:szCs w:val="20"/>
              </w:rPr>
              <w:t xml:space="preserve"> </w:t>
            </w:r>
            <w:r w:rsidRPr="00D90DD4">
              <w:rPr>
                <w:i/>
                <w:color w:val="767171" w:themeColor="background2" w:themeShade="80"/>
                <w:sz w:val="20"/>
                <w:szCs w:val="20"/>
              </w:rPr>
              <w:t xml:space="preserve">Klinghammer K et al., ESMO Open. 2021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4">
              <w:r>
                <w:rPr>
                  <w:sz w:val="20"/>
                  <w:rStyle w:val="Hyperlink"/>
                </w:rPr>
                <w:t xml:space="preserve">34022697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Docetaxel, cisplatin and 5-FU compared with docetaxel, cisplatin and cetuximab as induction chemotherapy in advanced squamous cell carcinoma of the head and neck: Results of a randomised phase II AGMT trial.</w:t>
            </w:r>
            <w:r>
              <w:rPr>
                <w:color w:val="404040" w:themeColor="text1" w:themeTint="BF"/>
                <w:sz w:val="20"/>
                <w:szCs w:val="20"/>
              </w:rPr>
              <w:t xml:space="preserve"> </w:t>
            </w:r>
            <w:r w:rsidRPr="00D90DD4">
              <w:rPr>
                <w:i/>
                <w:color w:val="767171" w:themeColor="background2" w:themeShade="80"/>
                <w:sz w:val="20"/>
                <w:szCs w:val="20"/>
              </w:rPr>
              <w:t xml:space="preserve">Keil F et al., Eur J Cancer.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5">
              <w:r>
                <w:rPr>
                  <w:sz w:val="20"/>
                  <w:rStyle w:val="Hyperlink"/>
                </w:rPr>
                <w:t xml:space="preserve">35260570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utility of PDX cohorts to reveal biomarkers of intrinsic resistance and clonal architecture changes underlying acquired resistance to cetuximab in HNSCC.</w:t>
            </w:r>
            <w:r>
              <w:rPr>
                <w:color w:val="404040" w:themeColor="text1" w:themeTint="BF"/>
                <w:sz w:val="20"/>
                <w:szCs w:val="20"/>
              </w:rPr>
              <w:t xml:space="preserve"> </w:t>
            </w:r>
            <w:r w:rsidRPr="00D90DD4">
              <w:rPr>
                <w:i/>
                <w:color w:val="767171" w:themeColor="background2" w:themeShade="80"/>
                <w:sz w:val="20"/>
                <w:szCs w:val="20"/>
              </w:rPr>
              <w:t xml:space="preserve">Yao Y et al., Signal Transduct Target Ther. 2022 03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6">
              <w:r>
                <w:rPr>
                  <w:sz w:val="20"/>
                  <w:rStyle w:val="Hyperlink"/>
                </w:rPr>
                <w:t xml:space="preserve">34663410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anti-EGFR therapies in metastatic colorectal cancer: underlying mechanisms and reversal strategies.</w:t>
            </w:r>
            <w:r>
              <w:rPr>
                <w:color w:val="404040" w:themeColor="text1" w:themeTint="BF"/>
                <w:sz w:val="20"/>
                <w:szCs w:val="20"/>
              </w:rPr>
              <w:t xml:space="preserve"> </w:t>
            </w:r>
            <w:r w:rsidRPr="00D90DD4">
              <w:rPr>
                <w:i/>
                <w:color w:val="767171" w:themeColor="background2" w:themeShade="80"/>
                <w:sz w:val="20"/>
                <w:szCs w:val="20"/>
              </w:rPr>
              <w:t xml:space="preserve">Zhou J et al., J Exp Clin Cancer Res. 2021 Oct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7">
              <w:r>
                <w:rPr>
                  <w:sz w:val="20"/>
                  <w:rStyle w:val="Hyperlink"/>
                </w:rPr>
                <w:t xml:space="preserve">21596817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(vectibix).</w:t>
            </w:r>
            <w:r>
              <w:rPr>
                <w:color w:val="404040" w:themeColor="text1" w:themeTint="BF"/>
                <w:sz w:val="20"/>
                <w:szCs w:val="20"/>
              </w:rPr>
              <w:t xml:space="preserve"> </w:t>
            </w:r>
            <w:r w:rsidRPr="00D90DD4">
              <w:rPr>
                <w:i/>
                <w:color w:val="767171" w:themeColor="background2" w:themeShade="80"/>
                <w:sz w:val="20"/>
                <w:szCs w:val="20"/>
              </w:rPr>
              <w:t xml:space="preserve">Gemmete JJ et al., AJNR Am J Neuroradiol. 2011 Jun-Jul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8">
              <w:r>
                <w:rPr>
                  <w:sz w:val="20"/>
                  <w:rStyle w:val="Hyperlink"/>
                </w:rPr>
                <w:t xml:space="preserve">34152568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A Review of Clinical Pharmacokinetic and Pharmacology Properties After Over a Decade of Experience in Patients with Solid Tumors.</w:t>
            </w:r>
            <w:r>
              <w:rPr>
                <w:color w:val="404040" w:themeColor="text1" w:themeTint="BF"/>
                <w:sz w:val="20"/>
                <w:szCs w:val="20"/>
              </w:rPr>
              <w:t xml:space="preserve"> </w:t>
            </w:r>
            <w:r w:rsidRPr="00D90DD4">
              <w:rPr>
                <w:i/>
                <w:color w:val="767171" w:themeColor="background2" w:themeShade="80"/>
                <w:sz w:val="20"/>
                <w:szCs w:val="20"/>
              </w:rPr>
              <w:t xml:space="preserve">Kast J et al., Adv Ther.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9">
              <w:r>
                <w:rPr>
                  <w:sz w:val="20"/>
                  <w:rStyle w:val="Hyperlink"/>
                </w:rPr>
                <w:t xml:space="preserve">34533973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Plus Fluorouracil and Folinic Acid Versus Fluorouracil and Folinic Acid Alone as Maintenance Therapy in RAS Wild-Type Metastatic Colorectal Cancer: The Randomized PANAMA Trial (AIO KRK 0212).</w:t>
            </w:r>
            <w:r>
              <w:rPr>
                <w:color w:val="404040" w:themeColor="text1" w:themeTint="BF"/>
                <w:sz w:val="20"/>
                <w:szCs w:val="20"/>
              </w:rPr>
              <w:t xml:space="preserve"> </w:t>
            </w:r>
            <w:r w:rsidRPr="00D90DD4">
              <w:rPr>
                <w:i/>
                <w:color w:val="767171" w:themeColor="background2" w:themeShade="80"/>
                <w:sz w:val="20"/>
                <w:szCs w:val="20"/>
              </w:rPr>
              <w:t xml:space="preserve">Modest DP et al., J Clin Oncol. 2022 01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0">
              <w:r>
                <w:rPr>
                  <w:sz w:val="20"/>
                  <w:rStyle w:val="Hyperlink"/>
                </w:rPr>
                <w:t xml:space="preserve">29080924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Exploratory analyses assessing the impact of early tumour shrinkage and depth of response on survival outcomes in patients with RAS wild-type metastatic colorectal cancer receiving treatment in three randomised panitumumab trials.</w:t>
            </w:r>
            <w:r>
              <w:rPr>
                <w:color w:val="404040" w:themeColor="text1" w:themeTint="BF"/>
                <w:sz w:val="20"/>
                <w:szCs w:val="20"/>
              </w:rPr>
              <w:t xml:space="preserve"> </w:t>
            </w:r>
            <w:r w:rsidRPr="00D90DD4">
              <w:rPr>
                <w:i/>
                <w:color w:val="767171" w:themeColor="background2" w:themeShade="80"/>
                <w:sz w:val="20"/>
                <w:szCs w:val="20"/>
              </w:rPr>
              <w:t xml:space="preserve">Taieb J et al., J Cancer Res Clin Oncol. 2018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1">
              <w:r>
                <w:rPr>
                  <w:sz w:val="20"/>
                  <w:rStyle w:val="Hyperlink"/>
                </w:rPr>
                <w:t xml:space="preserve">24718886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Final results from PRIME: randomized phase III study of panitumumab with FOLFOX4 for first-line treatment of metastatic colorectal cancer.</w:t>
            </w:r>
            <w:r>
              <w:rPr>
                <w:color w:val="404040" w:themeColor="text1" w:themeTint="BF"/>
                <w:sz w:val="20"/>
                <w:szCs w:val="20"/>
              </w:rPr>
              <w:t xml:space="preserve"> </w:t>
            </w:r>
            <w:r w:rsidRPr="00D90DD4">
              <w:rPr>
                <w:i/>
                <w:color w:val="767171" w:themeColor="background2" w:themeShade="80"/>
                <w:sz w:val="20"/>
                <w:szCs w:val="20"/>
              </w:rPr>
              <w:t xml:space="preserve">Douillard JY et al., Ann Oncol. 2014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2">
              <w:r>
                <w:rPr>
                  <w:sz w:val="20"/>
                  <w:rStyle w:val="Hyperlink"/>
                </w:rPr>
                <w:t xml:space="preserve">24739896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versus cetuximab in patients with chemotherapy-refractory wild-type KRAS exon 2 metastatic colorectal cancer (ASPECCT): a randomised, multicentre, open-label, non-inferiority phase 3 study.</w:t>
            </w:r>
            <w:r>
              <w:rPr>
                <w:color w:val="404040" w:themeColor="text1" w:themeTint="BF"/>
                <w:sz w:val="20"/>
                <w:szCs w:val="20"/>
              </w:rPr>
              <w:t xml:space="preserve"> </w:t>
            </w:r>
            <w:r w:rsidRPr="00D90DD4">
              <w:rPr>
                <w:i/>
                <w:color w:val="767171" w:themeColor="background2" w:themeShade="80"/>
                <w:sz w:val="20"/>
                <w:szCs w:val="20"/>
              </w:rPr>
              <w:t xml:space="preserve">Price TJ et al., Lancet Oncol. 2014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3">
              <w:r>
                <w:rPr>
                  <w:sz w:val="20"/>
                  <w:rStyle w:val="Hyperlink"/>
                </w:rPr>
                <w:t xml:space="preserve">29488071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and MEK Inhibitors: Use and Resistance in BRAF-Mutated Cancers.</w:t>
            </w:r>
            <w:r>
              <w:rPr>
                <w:color w:val="404040" w:themeColor="text1" w:themeTint="BF"/>
                <w:sz w:val="20"/>
                <w:szCs w:val="20"/>
              </w:rPr>
              <w:t xml:space="preserve"> </w:t>
            </w:r>
            <w:r w:rsidRPr="00D90DD4">
              <w:rPr>
                <w:i/>
                <w:color w:val="767171" w:themeColor="background2" w:themeShade="80"/>
                <w:sz w:val="20"/>
                <w:szCs w:val="20"/>
              </w:rPr>
              <w:t xml:space="preserve">Sanchez JN et al., Drugs. 2018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4">
              <w:r>
                <w:rPr>
                  <w:sz w:val="20"/>
                  <w:rStyle w:val="Hyperlink"/>
                </w:rPr>
                <w:t xml:space="preserve">22315332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Preclinical disposition of GDC-0973 and prospective and retrospective analysis of human dose and efficacy predictions.</w:t>
            </w:r>
            <w:r>
              <w:rPr>
                <w:color w:val="404040" w:themeColor="text1" w:themeTint="BF"/>
                <w:sz w:val="20"/>
                <w:szCs w:val="20"/>
              </w:rPr>
              <w:t xml:space="preserve"> </w:t>
            </w:r>
            <w:r w:rsidRPr="00D90DD4">
              <w:rPr>
                <w:i/>
                <w:color w:val="767171" w:themeColor="background2" w:themeShade="80"/>
                <w:sz w:val="20"/>
                <w:szCs w:val="20"/>
              </w:rPr>
              <w:t xml:space="preserve">Choo EF et al., Drug Metab Dispos. 2012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5">
              <w:r>
                <w:rPr>
                  <w:sz w:val="20"/>
                  <w:rStyle w:val="Hyperlink"/>
                </w:rPr>
                <w:t xml:space="preserve">32005279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heterogeneity and resistance to anti-HER2 antibody-drug conjugates.</w:t>
            </w:r>
            <w:r>
              <w:rPr>
                <w:color w:val="404040" w:themeColor="text1" w:themeTint="BF"/>
                <w:sz w:val="20"/>
                <w:szCs w:val="20"/>
              </w:rPr>
              <w:t xml:space="preserve"> </w:t>
            </w:r>
            <w:r w:rsidRPr="00D90DD4">
              <w:rPr>
                <w:i/>
                <w:color w:val="767171" w:themeColor="background2" w:themeShade="80"/>
                <w:sz w:val="20"/>
                <w:szCs w:val="20"/>
              </w:rPr>
              <w:t xml:space="preserve">Ocaña A et al., Breast Cancer Res. 2020 01 31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6">
              <w:r>
                <w:rPr>
                  <w:sz w:val="20"/>
                  <w:rStyle w:val="Hyperlink"/>
                </w:rPr>
                <w:t xml:space="preserve">33629601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Fam-Trastuzumab Deruxtecan-nxki in HER2-Positive Breast Cancer.</w:t>
            </w:r>
            <w:r>
              <w:rPr>
                <w:color w:val="404040" w:themeColor="text1" w:themeTint="BF"/>
                <w:sz w:val="20"/>
                <w:szCs w:val="20"/>
              </w:rPr>
              <w:t xml:space="preserve"> </w:t>
            </w:r>
            <w:r w:rsidRPr="00D90DD4">
              <w:rPr>
                <w:i/>
                <w:color w:val="767171" w:themeColor="background2" w:themeShade="80"/>
                <w:sz w:val="20"/>
                <w:szCs w:val="20"/>
              </w:rPr>
              <w:t xml:space="preserve">Nguyen X et al., Ann Pharmacother. 2021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7">
              <w:r>
                <w:rPr>
                  <w:sz w:val="20"/>
                  <w:rStyle w:val="Hyperlink"/>
                </w:rPr>
                <w:t xml:space="preserve">33658846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Profile of Trastuzumab Deruxtecan in the Management of Patients with HER2-Positive Unresectable or Metastatic Breast Cancer: An Evidence-Based Review.</w:t>
            </w:r>
            <w:r>
              <w:rPr>
                <w:color w:val="404040" w:themeColor="text1" w:themeTint="BF"/>
                <w:sz w:val="20"/>
                <w:szCs w:val="20"/>
              </w:rPr>
              <w:t xml:space="preserve"> </w:t>
            </w:r>
            <w:r w:rsidRPr="00D90DD4">
              <w:rPr>
                <w:i/>
                <w:color w:val="767171" w:themeColor="background2" w:themeShade="80"/>
                <w:sz w:val="20"/>
                <w:szCs w:val="20"/>
              </w:rPr>
              <w:t xml:space="preserve">Linehan AS et al., Breast Cancer (Dove Med Press).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8">
              <w:r>
                <w:rPr>
                  <w:sz w:val="20"/>
                  <w:rStyle w:val="Hyperlink"/>
                </w:rPr>
                <w:t xml:space="preserve">30241301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Underlying the Action and Synergism of Trastuzumab and Pertuzumab in Targeting HER2-Positive Breast Cancer.</w:t>
            </w:r>
            <w:r>
              <w:rPr>
                <w:color w:val="404040" w:themeColor="text1" w:themeTint="BF"/>
                <w:sz w:val="20"/>
                <w:szCs w:val="20"/>
              </w:rPr>
              <w:t xml:space="preserve"> </w:t>
            </w:r>
            <w:r w:rsidRPr="00D90DD4">
              <w:rPr>
                <w:i/>
                <w:color w:val="767171" w:themeColor="background2" w:themeShade="80"/>
                <w:sz w:val="20"/>
                <w:szCs w:val="20"/>
              </w:rPr>
              <w:t xml:space="preserve">Nami B et al., Cancers (Basel). 2018 Sep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9">
              <w:r>
                <w:rPr>
                  <w:sz w:val="20"/>
                  <w:rStyle w:val="Hyperlink"/>
                </w:rPr>
                <w:t xml:space="preserve">16236735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distinctive nature of HER2-positive breast cancers.</w:t>
            </w:r>
            <w:r>
              <w:rPr>
                <w:color w:val="404040" w:themeColor="text1" w:themeTint="BF"/>
                <w:sz w:val="20"/>
                <w:szCs w:val="20"/>
              </w:rPr>
              <w:t xml:space="preserve"> </w:t>
            </w:r>
            <w:r w:rsidRPr="00D90DD4">
              <w:rPr>
                <w:i/>
                <w:color w:val="767171" w:themeColor="background2" w:themeShade="80"/>
                <w:sz w:val="20"/>
                <w:szCs w:val="20"/>
              </w:rPr>
              <w:t xml:space="preserve">Burstein HJ, N Engl J Med. 2005 Oct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0">
              <w:r>
                <w:rPr>
                  <w:sz w:val="20"/>
                  <w:rStyle w:val="Hyperlink"/>
                </w:rPr>
                <w:t xml:space="preserve">22471661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Intrinsic and acquired resistance to HER2-targeted therapies in HER2 gene-amplified breast cancer: mechanisms and clinical implications.</w:t>
            </w:r>
            <w:r>
              <w:rPr>
                <w:color w:val="404040" w:themeColor="text1" w:themeTint="BF"/>
                <w:sz w:val="20"/>
                <w:szCs w:val="20"/>
              </w:rPr>
              <w:t xml:space="preserve"> </w:t>
            </w:r>
            <w:r w:rsidRPr="00D90DD4">
              <w:rPr>
                <w:i/>
                <w:color w:val="767171" w:themeColor="background2" w:themeShade="80"/>
                <w:sz w:val="20"/>
                <w:szCs w:val="20"/>
              </w:rPr>
              <w:t xml:space="preserve">Rexer BN et al., Crit Rev Oncog. 2012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1">
              <w:r>
                <w:rPr>
                  <w:sz w:val="20"/>
                  <w:rStyle w:val="Hyperlink"/>
                </w:rPr>
                <w:t xml:space="preserve">34262612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 on the role of pembrolizumab in patients with unresectable or metastatic colorectal cancer.</w:t>
            </w:r>
            <w:r>
              <w:rPr>
                <w:color w:val="404040" w:themeColor="text1" w:themeTint="BF"/>
                <w:sz w:val="20"/>
                <w:szCs w:val="20"/>
              </w:rPr>
              <w:t xml:space="preserve"> </w:t>
            </w:r>
            <w:r w:rsidRPr="00D90DD4">
              <w:rPr>
                <w:i/>
                <w:color w:val="767171" w:themeColor="background2" w:themeShade="80"/>
                <w:sz w:val="20"/>
                <w:szCs w:val="20"/>
              </w:rPr>
              <w:t xml:space="preserve">Wookey V et al., Therap Adv Gastroenterol.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2">
              <w:r>
                <w:rPr>
                  <w:sz w:val="20"/>
                  <w:rStyle w:val="Hyperlink"/>
                </w:rPr>
                <w:t xml:space="preserve">28323504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use for the treatment of advanced melanoma.</w:t>
            </w:r>
            <w:r>
              <w:rPr>
                <w:color w:val="404040" w:themeColor="text1" w:themeTint="BF"/>
                <w:sz w:val="20"/>
                <w:szCs w:val="20"/>
              </w:rPr>
              <w:t xml:space="preserve"> </w:t>
            </w:r>
            <w:r w:rsidRPr="00D90DD4">
              <w:rPr>
                <w:i/>
                <w:color w:val="767171" w:themeColor="background2" w:themeShade="80"/>
                <w:sz w:val="20"/>
                <w:szCs w:val="20"/>
              </w:rPr>
              <w:t xml:space="preserve">Specenier P, Expert Opin Biol Ther. 2017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3">
              <w:r>
                <w:rPr>
                  <w:sz w:val="20"/>
                  <w:rStyle w:val="Hyperlink"/>
                </w:rPr>
                <w:t xml:space="preserve">35364421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Updated efficacy and safety of KEYNOTE-224: a phase II study of pembrolizumab in patients with advanced hepatocellular carcinoma previously treated with sorafenib.</w:t>
            </w:r>
            <w:r>
              <w:rPr>
                <w:color w:val="404040" w:themeColor="text1" w:themeTint="BF"/>
                <w:sz w:val="20"/>
                <w:szCs w:val="20"/>
              </w:rPr>
              <w:t xml:space="preserve"> </w:t>
            </w:r>
            <w:r w:rsidRPr="00D90DD4">
              <w:rPr>
                <w:i/>
                <w:color w:val="767171" w:themeColor="background2" w:themeShade="80"/>
                <w:sz w:val="20"/>
                <w:szCs w:val="20"/>
              </w:rPr>
              <w:t xml:space="preserve">Kudo M et al., Eur J Cancer. 2022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4">
              <w:r>
                <w:rPr>
                  <w:sz w:val="20"/>
                  <w:rStyle w:val="Hyperlink"/>
                </w:rPr>
                <w:t xml:space="preserve">33183120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for advanced cervical cancer: safety and efficacy.</w:t>
            </w:r>
            <w:r>
              <w:rPr>
                <w:color w:val="404040" w:themeColor="text1" w:themeTint="BF"/>
                <w:sz w:val="20"/>
                <w:szCs w:val="20"/>
              </w:rPr>
              <w:t xml:space="preserve"> </w:t>
            </w:r>
            <w:r w:rsidRPr="00D90DD4">
              <w:rPr>
                <w:i/>
                <w:color w:val="767171" w:themeColor="background2" w:themeShade="80"/>
                <w:sz w:val="20"/>
                <w:szCs w:val="20"/>
              </w:rPr>
              <w:t xml:space="preserve">De Felice F et al., Expert Rev Anticancer Ther.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5">
              <w:r>
                <w:rPr>
                  <w:sz w:val="20"/>
                  <w:rStyle w:val="Hyperlink"/>
                </w:rPr>
                <w:t xml:space="preserve">34083238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for the Treatment of Tumor Mutational Burden-High Solid Tumors.</w:t>
            </w:r>
            <w:r>
              <w:rPr>
                <w:color w:val="404040" w:themeColor="text1" w:themeTint="BF"/>
                <w:sz w:val="20"/>
                <w:szCs w:val="20"/>
              </w:rPr>
              <w:t xml:space="preserve"> </w:t>
            </w:r>
            <w:r w:rsidRPr="00D90DD4">
              <w:rPr>
                <w:i/>
                <w:color w:val="767171" w:themeColor="background2" w:themeShade="80"/>
                <w:sz w:val="20"/>
                <w:szCs w:val="20"/>
              </w:rPr>
              <w:t xml:space="preserve">Marcus L et al., Clin Cancer Res. 2021 09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6">
              <w:r>
                <w:rPr>
                  <w:sz w:val="20"/>
                  <w:rStyle w:val="Hyperlink"/>
                </w:rPr>
                <w:t xml:space="preserve">32771306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FDA approval of pembrolizumab for adult and pediatric patients with tumor mutational burden (TMB) ≥10: a decision centered on empowering patients and their physicians.</w:t>
            </w:r>
            <w:r>
              <w:rPr>
                <w:color w:val="404040" w:themeColor="text1" w:themeTint="BF"/>
                <w:sz w:val="20"/>
                <w:szCs w:val="20"/>
              </w:rPr>
              <w:t xml:space="preserve"> </w:t>
            </w:r>
            <w:r w:rsidRPr="00D90DD4">
              <w:rPr>
                <w:i/>
                <w:color w:val="767171" w:themeColor="background2" w:themeShade="80"/>
                <w:sz w:val="20"/>
                <w:szCs w:val="20"/>
              </w:rPr>
              <w:t xml:space="preserve">Subbiah V et al., Ann Oncol. 2020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7">
              <w:r>
                <w:rPr>
                  <w:sz w:val="20"/>
                  <w:rStyle w:val="Hyperlink"/>
                </w:rPr>
                <w:t xml:space="preserve">33846198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for the First-line Treatment of Patients with MSI-H/dMMR Advanced Unresectable or Metastatic Colorectal Carcinoma.</w:t>
            </w:r>
            <w:r>
              <w:rPr>
                <w:color w:val="404040" w:themeColor="text1" w:themeTint="BF"/>
                <w:sz w:val="20"/>
                <w:szCs w:val="20"/>
              </w:rPr>
              <w:t xml:space="preserve"> </w:t>
            </w:r>
            <w:r w:rsidRPr="00D90DD4">
              <w:rPr>
                <w:i/>
                <w:color w:val="767171" w:themeColor="background2" w:themeShade="80"/>
                <w:sz w:val="20"/>
                <w:szCs w:val="20"/>
              </w:rPr>
              <w:t xml:space="preserve">Casak SJ et al., Clin Cancer Res. 2021 09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8">
              <w:r>
                <w:rPr>
                  <w:sz w:val="20"/>
                  <w:rStyle w:val="Hyperlink"/>
                </w:rPr>
                <w:t xml:space="preserve">29360728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Resistance to PD-1 and PD-L1 Blockade.</w:t>
            </w:r>
            <w:r>
              <w:rPr>
                <w:color w:val="404040" w:themeColor="text1" w:themeTint="BF"/>
                <w:sz w:val="20"/>
                <w:szCs w:val="20"/>
              </w:rPr>
              <w:t xml:space="preserve"> </w:t>
            </w:r>
            <w:r w:rsidRPr="00D90DD4">
              <w:rPr>
                <w:i/>
                <w:color w:val="767171" w:themeColor="background2" w:themeShade="80"/>
                <w:sz w:val="20"/>
                <w:szCs w:val="20"/>
              </w:rPr>
              <w:t xml:space="preserve">Nowicki TS et al., Cancer J. 2018 Jan/Feb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9">
              <w:r>
                <w:rPr>
                  <w:sz w:val="20"/>
                  <w:rStyle w:val="Hyperlink"/>
                </w:rPr>
                <w:t xml:space="preserve">28187290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Primary, Adaptive, and Acquired Resistance to Cancer Immunotherapy.</w:t>
            </w:r>
            <w:r>
              <w:rPr>
                <w:color w:val="404040" w:themeColor="text1" w:themeTint="BF"/>
                <w:sz w:val="20"/>
                <w:szCs w:val="20"/>
              </w:rPr>
              <w:t xml:space="preserve"> </w:t>
            </w:r>
            <w:r w:rsidRPr="00D90DD4">
              <w:rPr>
                <w:i/>
                <w:color w:val="767171" w:themeColor="background2" w:themeShade="80"/>
                <w:sz w:val="20"/>
                <w:szCs w:val="20"/>
              </w:rPr>
              <w:t xml:space="preserve">Sharma P et al., Cell. 2017 02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0">
              <w:r>
                <w:rPr>
                  <w:sz w:val="20"/>
                  <w:rStyle w:val="Hyperlink"/>
                </w:rPr>
                <w:t xml:space="preserve">32000802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Predictive biomarkers and mechanisms underlying resistance to PD1/PD-L1 blockade cancer immunotherapy.</w:t>
            </w:r>
            <w:r>
              <w:rPr>
                <w:color w:val="404040" w:themeColor="text1" w:themeTint="BF"/>
                <w:sz w:val="20"/>
                <w:szCs w:val="20"/>
              </w:rPr>
              <w:t xml:space="preserve"> </w:t>
            </w:r>
            <w:r w:rsidRPr="00D90DD4">
              <w:rPr>
                <w:i/>
                <w:color w:val="767171" w:themeColor="background2" w:themeShade="80"/>
                <w:sz w:val="20"/>
                <w:szCs w:val="20"/>
              </w:rPr>
              <w:t xml:space="preserve">Ren D et al., Mol Cancer. 2020 01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1">
              <w:r>
                <w:rPr>
                  <w:sz w:val="20"/>
                  <w:rStyle w:val="Hyperlink"/>
                </w:rPr>
                <w:t xml:space="preserve">12214266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Anti-tumor activity of GW572016: a dual tyrosine kinase inhibitor blocks EGF activation of EGFR/erbB2 and downstream Erk1/2 and AKT pathways.</w:t>
            </w:r>
            <w:r>
              <w:rPr>
                <w:color w:val="404040" w:themeColor="text1" w:themeTint="BF"/>
                <w:sz w:val="20"/>
                <w:szCs w:val="20"/>
              </w:rPr>
              <w:t xml:space="preserve"> </w:t>
            </w:r>
            <w:r w:rsidRPr="00D90DD4">
              <w:rPr>
                <w:i/>
                <w:color w:val="767171" w:themeColor="background2" w:themeShade="80"/>
                <w:sz w:val="20"/>
                <w:szCs w:val="20"/>
              </w:rPr>
              <w:t xml:space="preserve">Xia W et al., Oncogene. 2002 Sep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2">
              <w:r>
                <w:rPr>
                  <w:sz w:val="20"/>
                  <w:rStyle w:val="Hyperlink"/>
                </w:rPr>
                <w:t xml:space="preserve">34016991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HER2-positive breast cancer and tyrosine kinase inhibitors: the time is now.</w:t>
            </w:r>
            <w:r>
              <w:rPr>
                <w:color w:val="404040" w:themeColor="text1" w:themeTint="BF"/>
                <w:sz w:val="20"/>
                <w:szCs w:val="20"/>
              </w:rPr>
              <w:t xml:space="preserve"> </w:t>
            </w:r>
            <w:r w:rsidRPr="00D90DD4">
              <w:rPr>
                <w:i/>
                <w:color w:val="767171" w:themeColor="background2" w:themeShade="80"/>
                <w:sz w:val="20"/>
                <w:szCs w:val="20"/>
              </w:rPr>
              <w:t xml:space="preserve">Schlam I et al., NPJ Breast Cancer. 2021 May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3">
              <w:r>
                <w:rPr>
                  <w:sz w:val="20"/>
                  <w:rStyle w:val="Hyperlink"/>
                </w:rPr>
                <w:t xml:space="preserve">24876102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Neuromedin U: a candidate biomarker and therapeutic target to predict and overcome resistance to HER-tyrosine kinase inhibitors.</w:t>
            </w:r>
            <w:r>
              <w:rPr>
                <w:color w:val="404040" w:themeColor="text1" w:themeTint="BF"/>
                <w:sz w:val="20"/>
                <w:szCs w:val="20"/>
              </w:rPr>
              <w:t xml:space="preserve"> </w:t>
            </w:r>
            <w:r w:rsidRPr="00D90DD4">
              <w:rPr>
                <w:i/>
                <w:color w:val="767171" w:themeColor="background2" w:themeShade="80"/>
                <w:sz w:val="20"/>
                <w:szCs w:val="20"/>
              </w:rPr>
              <w:t xml:space="preserve">Rani S et al., Cancer Res. 2014 Jul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4">
              <w:r>
                <w:rPr>
                  <w:sz w:val="20"/>
                  <w:rStyle w:val="Hyperlink"/>
                </w:rPr>
                <w:t xml:space="preserve">26276735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lapatinib resistance in HER2-driven breast cancer.</w:t>
            </w:r>
            <w:r>
              <w:rPr>
                <w:color w:val="404040" w:themeColor="text1" w:themeTint="BF"/>
                <w:sz w:val="20"/>
                <w:szCs w:val="20"/>
              </w:rPr>
              <w:t xml:space="preserve"> </w:t>
            </w:r>
            <w:r w:rsidRPr="00D90DD4">
              <w:rPr>
                <w:i/>
                <w:color w:val="767171" w:themeColor="background2" w:themeShade="80"/>
                <w:sz w:val="20"/>
                <w:szCs w:val="20"/>
              </w:rPr>
              <w:t xml:space="preserve">D'Amato V et al., Cancer Treat Rev. 2015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5">
              <w:r>
                <w:rPr>
                  <w:sz w:val="20"/>
                  <w:rStyle w:val="Hyperlink"/>
                </w:rPr>
                <w:t xml:space="preserve">28487443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Reactivation through Acquisition of the HER2 L755S Mutation as a Mechanism of Acquired Resistance to HER2-targeted Therapy in HER2+ Breast Cancer.</w:t>
            </w:r>
            <w:r>
              <w:rPr>
                <w:color w:val="404040" w:themeColor="text1" w:themeTint="BF"/>
                <w:sz w:val="20"/>
                <w:szCs w:val="20"/>
              </w:rPr>
              <w:t xml:space="preserve"> </w:t>
            </w:r>
            <w:r w:rsidRPr="00D90DD4">
              <w:rPr>
                <w:i/>
                <w:color w:val="767171" w:themeColor="background2" w:themeShade="80"/>
                <w:sz w:val="20"/>
                <w:szCs w:val="20"/>
              </w:rPr>
              <w:t xml:space="preserve">Xu X et al., Clin Cancer Res. 2017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6">
              <w:r>
                <w:rPr>
                  <w:sz w:val="20"/>
                  <w:rStyle w:val="Hyperlink"/>
                </w:rPr>
                <w:t xml:space="preserve">33480963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Efficacy of Margetuximab vs Trastuzumab in Patients With Pretreated ERBB2-Positive Advanced Breast Cancer: A Phase 3 Randomized Clinical Trial.</w:t>
            </w:r>
            <w:r>
              <w:rPr>
                <w:color w:val="404040" w:themeColor="text1" w:themeTint="BF"/>
                <w:sz w:val="20"/>
                <w:szCs w:val="20"/>
              </w:rPr>
              <w:t xml:space="preserve"> </w:t>
            </w:r>
            <w:r w:rsidRPr="00D90DD4">
              <w:rPr>
                <w:i/>
                <w:color w:val="767171" w:themeColor="background2" w:themeShade="80"/>
                <w:sz w:val="20"/>
                <w:szCs w:val="20"/>
              </w:rPr>
              <w:t xml:space="preserve">Rugo HS et al., JAMA Oncol. 2021 Apr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7">
              <w:r>
                <w:rPr>
                  <w:sz w:val="20"/>
                  <w:rStyle w:val="Hyperlink"/>
                </w:rPr>
                <w:t xml:space="preserve">30911337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HER2-positive breast cancer: new therapeutic frontiers and overcoming resistance.</w:t>
            </w:r>
            <w:r>
              <w:rPr>
                <w:color w:val="404040" w:themeColor="text1" w:themeTint="BF"/>
                <w:sz w:val="20"/>
                <w:szCs w:val="20"/>
              </w:rPr>
              <w:t xml:space="preserve"> </w:t>
            </w:r>
            <w:r w:rsidRPr="00D90DD4">
              <w:rPr>
                <w:i/>
                <w:color w:val="767171" w:themeColor="background2" w:themeShade="80"/>
                <w:sz w:val="20"/>
                <w:szCs w:val="20"/>
              </w:rPr>
              <w:t xml:space="preserve">Pernas S et al., Ther Adv Med Oncol.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8">
              <w:r>
                <w:rPr>
                  <w:sz w:val="20"/>
                  <w:rStyle w:val="Hyperlink"/>
                </w:rPr>
                <w:t xml:space="preserve">15173008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Antitumor activity of HKI-272, an orally active, irreversible inhibitor of the HER-2 tyrosine kinase.</w:t>
            </w:r>
            <w:r>
              <w:rPr>
                <w:color w:val="404040" w:themeColor="text1" w:themeTint="BF"/>
                <w:sz w:val="20"/>
                <w:szCs w:val="20"/>
              </w:rPr>
              <w:t xml:space="preserve"> </w:t>
            </w:r>
            <w:r w:rsidRPr="00D90DD4">
              <w:rPr>
                <w:i/>
                <w:color w:val="767171" w:themeColor="background2" w:themeShade="80"/>
                <w:sz w:val="20"/>
                <w:szCs w:val="20"/>
              </w:rPr>
              <w:t xml:space="preserve">Rabindran SK et al., Cancer Res. 2004 Jun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9">
              <w:r>
                <w:rPr>
                  <w:sz w:val="20"/>
                  <w:rStyle w:val="Hyperlink"/>
                </w:rPr>
                <w:t xml:space="preserve">12502359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Synthesis and structure-activity relationships of 6,7-disubstituted 4-anilinoquinoline-3-carbonitriles. The design of an orally active, irreversible inhibitor of the tyrosine kinase activity of the epidermal growth factor receptor (EGFR) and the human epidermal growth factor receptor-2 (HER-2).</w:t>
            </w:r>
            <w:r>
              <w:rPr>
                <w:color w:val="404040" w:themeColor="text1" w:themeTint="BF"/>
                <w:sz w:val="20"/>
                <w:szCs w:val="20"/>
              </w:rPr>
              <w:t xml:space="preserve"> </w:t>
            </w:r>
            <w:r w:rsidRPr="00D90DD4">
              <w:rPr>
                <w:i/>
                <w:color w:val="767171" w:themeColor="background2" w:themeShade="80"/>
                <w:sz w:val="20"/>
                <w:szCs w:val="20"/>
              </w:rPr>
              <w:t xml:space="preserve">Wissner A et al., J Med Chem. 2003 Jan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0">
              <w:r>
                <w:rPr>
                  <w:sz w:val="20"/>
                  <w:rStyle w:val="Hyperlink"/>
                </w:rPr>
                <w:t xml:space="preserve">21487605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genome-wide RNAi screen identifies novel targets of neratinib sensitivity leading to neratinib and paclitaxel combination drug treatments.</w:t>
            </w:r>
            <w:r>
              <w:rPr>
                <w:color w:val="404040" w:themeColor="text1" w:themeTint="BF"/>
                <w:sz w:val="20"/>
                <w:szCs w:val="20"/>
              </w:rPr>
              <w:t xml:space="preserve"> </w:t>
            </w:r>
            <w:r w:rsidRPr="00D90DD4">
              <w:rPr>
                <w:i/>
                <w:color w:val="767171" w:themeColor="background2" w:themeShade="80"/>
                <w:sz w:val="20"/>
                <w:szCs w:val="20"/>
              </w:rPr>
              <w:t xml:space="preserve">Seyhan AA et al., Mol Biosyst. 2011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1">
              <w:r>
                <w:rPr>
                  <w:sz w:val="20"/>
                  <w:rStyle w:val="Hyperlink"/>
                </w:rPr>
                <w:t xml:space="preserve">28152547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Neratinib resistance and cross-resistance to other HER2-targeted drugs due to increased activity of metabolism enzyme cytochrome P4503A4.</w:t>
            </w:r>
            <w:r>
              <w:rPr>
                <w:color w:val="404040" w:themeColor="text1" w:themeTint="BF"/>
                <w:sz w:val="20"/>
                <w:szCs w:val="20"/>
              </w:rPr>
              <w:t xml:space="preserve"> </w:t>
            </w:r>
            <w:r w:rsidRPr="00D90DD4">
              <w:rPr>
                <w:i/>
                <w:color w:val="767171" w:themeColor="background2" w:themeShade="80"/>
                <w:sz w:val="20"/>
                <w:szCs w:val="20"/>
              </w:rPr>
              <w:t xml:space="preserve">Breslin S et al., Br J Cancer. 2017 Feb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2">
              <w:r>
                <w:rPr>
                  <w:sz w:val="20"/>
                  <w:rStyle w:val="Hyperlink"/>
                </w:rPr>
                <w:t xml:space="preserve">28053022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 Study of ONT-380, a HER2 Inhibitor, in Patients with HER2+-Advanced Solid Tumors, with an Expansion Cohort in HER2Metastatic Breast Cancer (MBC).</w:t>
            </w:r>
            <w:r>
              <w:rPr>
                <w:color w:val="404040" w:themeColor="text1" w:themeTint="BF"/>
                <w:sz w:val="20"/>
                <w:szCs w:val="20"/>
              </w:rPr>
              <w:t xml:space="preserve"> </w:t>
            </w:r>
            <w:r w:rsidRPr="00D90DD4">
              <w:rPr>
                <w:i/>
                <w:color w:val="767171" w:themeColor="background2" w:themeShade="80"/>
                <w:sz w:val="20"/>
                <w:szCs w:val="20"/>
              </w:rPr>
              <w:t xml:space="preserve">Moulder SL et al., Clin Cancer Res. 2017 Jul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3">
              <w:r>
                <w:rPr>
                  <w:sz w:val="20"/>
                  <w:rStyle w:val="Hyperlink"/>
                </w:rPr>
                <w:t xml:space="preserve">29401002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Phosphatidylinositol 3-Kinase α-Selective Inhibition With Alpelisib (BYL719) in PIK3CA-Altered Solid Tumors: Results From the First-in-Human Study.</w:t>
            </w:r>
            <w:r>
              <w:rPr>
                <w:color w:val="404040" w:themeColor="text1" w:themeTint="BF"/>
                <w:sz w:val="20"/>
                <w:szCs w:val="20"/>
              </w:rPr>
              <w:t xml:space="preserve"> </w:t>
            </w:r>
            <w:r w:rsidRPr="00D90DD4">
              <w:rPr>
                <w:i/>
                <w:color w:val="767171" w:themeColor="background2" w:themeShade="80"/>
                <w:sz w:val="20"/>
                <w:szCs w:val="20"/>
              </w:rPr>
              <w:t xml:space="preserve">Juric D et al., J Clin Oncol. 2018 05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4">
              <w:r>
                <w:rPr>
                  <w:sz w:val="20"/>
                  <w:rStyle w:val="Hyperlink"/>
                </w:rPr>
                <w:t xml:space="preserve">33246021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Alpelisib plus fulvestrant for PIK3CA-mutated, hormone receptor-positive, human epidermal growth factor receptor-2-negative advanced breast cancer: final overall survival results from SOLAR-1.</w:t>
            </w:r>
            <w:r>
              <w:rPr>
                <w:color w:val="404040" w:themeColor="text1" w:themeTint="BF"/>
                <w:sz w:val="20"/>
                <w:szCs w:val="20"/>
              </w:rPr>
              <w:t xml:space="preserve"> </w:t>
            </w:r>
            <w:r w:rsidRPr="00D90DD4">
              <w:rPr>
                <w:i/>
                <w:color w:val="767171" w:themeColor="background2" w:themeShade="80"/>
                <w:sz w:val="20"/>
                <w:szCs w:val="20"/>
              </w:rPr>
              <w:t xml:space="preserve">André F et al., Ann Oncol.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5">
              <w:r>
                <w:rPr>
                  <w:sz w:val="20"/>
                  <w:rStyle w:val="Hyperlink"/>
                </w:rPr>
                <w:t xml:space="preserve">33707948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Role of Alpelisib in the Treatment of PIK3CA-Mutated Breast Cancer: Patient Selection and Clinical Perspectives.</w:t>
            </w:r>
            <w:r>
              <w:rPr>
                <w:color w:val="404040" w:themeColor="text1" w:themeTint="BF"/>
                <w:sz w:val="20"/>
                <w:szCs w:val="20"/>
              </w:rPr>
              <w:t xml:space="preserve"> </w:t>
            </w:r>
            <w:r w:rsidRPr="00D90DD4">
              <w:rPr>
                <w:i/>
                <w:color w:val="767171" w:themeColor="background2" w:themeShade="80"/>
                <w:sz w:val="20"/>
                <w:szCs w:val="20"/>
              </w:rPr>
              <w:t xml:space="preserve">Chang DY et al., Ther Clin Risk Manag.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6">
              <w:r>
                <w:rPr>
                  <w:sz w:val="20"/>
                  <w:rStyle w:val="Hyperlink"/>
                </w:rPr>
                <w:t xml:space="preserve">33575071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Alpelisib: A Novel Therapy for Patients WithMutated Metastatic Breast Cancer.</w:t>
            </w:r>
            <w:r>
              <w:rPr>
                <w:color w:val="404040" w:themeColor="text1" w:themeTint="BF"/>
                <w:sz w:val="20"/>
                <w:szCs w:val="20"/>
              </w:rPr>
              <w:t xml:space="preserve"> </w:t>
            </w:r>
            <w:r w:rsidRPr="00D90DD4">
              <w:rPr>
                <w:i/>
                <w:color w:val="767171" w:themeColor="background2" w:themeShade="80"/>
                <w:sz w:val="20"/>
                <w:szCs w:val="20"/>
              </w:rPr>
              <w:t xml:space="preserve">Wilhoit T et al., J Adv Pract Oncol. 2020 Sep-Oct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7">
              <w:r>
                <w:rPr>
                  <w:sz w:val="20"/>
                  <w:rStyle w:val="Hyperlink"/>
                </w:rPr>
                <w:t xml:space="preserve">33245164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II Study of Fulvestrant 500 mg as Maintenance Therapy in Hormone Receptor-Positive, Human Epidermal Growth Factor Receptor 2-Negative Patients with Advanced Breast Cancer After First-Line Chemotherapy.</w:t>
            </w:r>
            <w:r>
              <w:rPr>
                <w:color w:val="404040" w:themeColor="text1" w:themeTint="BF"/>
                <w:sz w:val="20"/>
                <w:szCs w:val="20"/>
              </w:rPr>
              <w:t xml:space="preserve"> </w:t>
            </w:r>
            <w:r w:rsidRPr="00D90DD4">
              <w:rPr>
                <w:i/>
                <w:color w:val="767171" w:themeColor="background2" w:themeShade="80"/>
                <w:sz w:val="20"/>
                <w:szCs w:val="20"/>
              </w:rPr>
              <w:t xml:space="preserve">Xu F et al., Oncologist. 2021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8">
              <w:r>
                <w:rPr>
                  <w:sz w:val="20"/>
                  <w:rStyle w:val="Hyperlink"/>
                </w:rPr>
                <w:t xml:space="preserve">15018596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a review of its use in hormone receptor-positive metastatic breast cancer in postmenopausal women with disease progression following antiestrogen therapy.</w:t>
            </w:r>
            <w:r>
              <w:rPr>
                <w:color w:val="404040" w:themeColor="text1" w:themeTint="BF"/>
                <w:sz w:val="20"/>
                <w:szCs w:val="20"/>
              </w:rPr>
              <w:t xml:space="preserve"> </w:t>
            </w:r>
            <w:r w:rsidRPr="00D90DD4">
              <w:rPr>
                <w:i/>
                <w:color w:val="767171" w:themeColor="background2" w:themeShade="80"/>
                <w:sz w:val="20"/>
                <w:szCs w:val="20"/>
              </w:rPr>
              <w:t xml:space="preserve">McKeage K et al., Drugs. 2004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9">
              <w:r>
                <w:rPr>
                  <w:sz w:val="20"/>
                  <w:rStyle w:val="Hyperlink"/>
                </w:rPr>
                <w:t xml:space="preserve">25457991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good drug made better: the fulvestrant dose-response story.</w:t>
            </w:r>
            <w:r>
              <w:rPr>
                <w:color w:val="404040" w:themeColor="text1" w:themeTint="BF"/>
                <w:sz w:val="20"/>
                <w:szCs w:val="20"/>
              </w:rPr>
              <w:t xml:space="preserve"> </w:t>
            </w:r>
            <w:r w:rsidRPr="00D90DD4">
              <w:rPr>
                <w:i/>
                <w:color w:val="767171" w:themeColor="background2" w:themeShade="80"/>
                <w:sz w:val="20"/>
                <w:szCs w:val="20"/>
              </w:rPr>
              <w:t xml:space="preserve">Robertson JF et al., Clin Breast Cancer. 2014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0">
              <w:r>
                <w:rPr>
                  <w:sz w:val="20"/>
                  <w:rStyle w:val="Hyperlink"/>
                </w:rPr>
                <w:t xml:space="preserve">32855207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Fulvestrant-Mediated Attenuation of the Innate Immune Response Decreases ER+ Breast Cancer Growth In Vivo More Effectively than Tamoxifen.</w:t>
            </w:r>
            <w:r>
              <w:rPr>
                <w:color w:val="404040" w:themeColor="text1" w:themeTint="BF"/>
                <w:sz w:val="20"/>
                <w:szCs w:val="20"/>
              </w:rPr>
              <w:t xml:space="preserve"> </w:t>
            </w:r>
            <w:r w:rsidRPr="00D90DD4">
              <w:rPr>
                <w:i/>
                <w:color w:val="767171" w:themeColor="background2" w:themeShade="80"/>
                <w:sz w:val="20"/>
                <w:szCs w:val="20"/>
              </w:rPr>
              <w:t xml:space="preserve">Abrahamsson A et al., Cancer Res. 2020 10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1">
              <w:r>
                <w:rPr>
                  <w:sz w:val="20"/>
                  <w:rStyle w:val="Hyperlink"/>
                </w:rPr>
                <w:t xml:space="preserve">14555500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in postmenopausal women with advanced breast cancer.</w:t>
            </w:r>
            <w:r>
              <w:rPr>
                <w:color w:val="404040" w:themeColor="text1" w:themeTint="BF"/>
                <w:sz w:val="20"/>
                <w:szCs w:val="20"/>
              </w:rPr>
              <w:t xml:space="preserve"> </w:t>
            </w:r>
            <w:r w:rsidRPr="00D90DD4">
              <w:rPr>
                <w:i/>
                <w:color w:val="767171" w:themeColor="background2" w:themeShade="80"/>
                <w:sz w:val="20"/>
                <w:szCs w:val="20"/>
              </w:rPr>
              <w:t xml:space="preserve">Bross PF et al., Clin Cancer Res. 2003 Oct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2">
              <w:r>
                <w:rPr>
                  <w:sz w:val="20"/>
                  <w:rStyle w:val="Hyperlink"/>
                </w:rPr>
                <w:t xml:space="preserve">27908454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500 mg versus anastrozole 1 mg for hormone receptor-positive advanced breast cancer (FALCON): an international, randomised, double-blind, phase 3 trial.</w:t>
            </w:r>
            <w:r>
              <w:rPr>
                <w:color w:val="404040" w:themeColor="text1" w:themeTint="BF"/>
                <w:sz w:val="20"/>
                <w:szCs w:val="20"/>
              </w:rPr>
              <w:t xml:space="preserve"> </w:t>
            </w:r>
            <w:r w:rsidRPr="00D90DD4">
              <w:rPr>
                <w:i/>
                <w:color w:val="767171" w:themeColor="background2" w:themeShade="80"/>
                <w:sz w:val="20"/>
                <w:szCs w:val="20"/>
              </w:rPr>
              <w:t xml:space="preserve">Robertson JFR et al., Lancet. 2016 12 17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3">
              <w:r>
                <w:rPr>
                  <w:sz w:val="20"/>
                  <w:rStyle w:val="Hyperlink"/>
                </w:rPr>
                <w:t xml:space="preserve">26947331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plus palbociclib versus fulvestrant plus placebo for treatment of hormone-receptor-positive, HER2-negative metastatic breast cancer that progressed on previous endocrine therapy (PALOMA-3): final analysis of the multicentre, double-blind, phase 3 randomised controlled trial.</w:t>
            </w:r>
            <w:r>
              <w:rPr>
                <w:color w:val="404040" w:themeColor="text1" w:themeTint="BF"/>
                <w:sz w:val="20"/>
                <w:szCs w:val="20"/>
              </w:rPr>
              <w:t xml:space="preserve"> </w:t>
            </w:r>
            <w:r w:rsidRPr="00D90DD4">
              <w:rPr>
                <w:i/>
                <w:color w:val="767171" w:themeColor="background2" w:themeShade="80"/>
                <w:sz w:val="20"/>
                <w:szCs w:val="20"/>
              </w:rPr>
              <w:t xml:space="preserve">Cristofanilli M et al., Lancet Oncol. 2016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4">
              <w:r>
                <w:rPr>
                  <w:sz w:val="20"/>
                  <w:rStyle w:val="Hyperlink"/>
                </w:rPr>
                <w:t xml:space="preserve">28580882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MONARCH 2: Abemaciclib in Combination With Fulvestrant in Women With HR+/HER2- Advanced Breast Cancer Who Had Progressed While Receiving Endocrine Therapy.</w:t>
            </w:r>
            <w:r>
              <w:rPr>
                <w:color w:val="404040" w:themeColor="text1" w:themeTint="BF"/>
                <w:sz w:val="20"/>
                <w:szCs w:val="20"/>
              </w:rPr>
              <w:t xml:space="preserve"> </w:t>
            </w:r>
            <w:r w:rsidRPr="00D90DD4">
              <w:rPr>
                <w:i/>
                <w:color w:val="767171" w:themeColor="background2" w:themeShade="80"/>
                <w:sz w:val="20"/>
                <w:szCs w:val="20"/>
              </w:rPr>
              <w:t xml:space="preserve">Sledge GW et al., J Clin Oncol. 2017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5">
              <w:r>
                <w:rPr>
                  <w:sz w:val="20"/>
                  <w:rStyle w:val="Hyperlink"/>
                </w:rPr>
                <w:t xml:space="preserve">29860922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III Randomized Study of Ribociclib and Fulvestrant in Hormone Receptor-Positive, Human Epidermal Growth Factor Receptor 2-Negative Advanced Breast Cancer: MONALEESA-3.</w:t>
            </w:r>
            <w:r>
              <w:rPr>
                <w:color w:val="404040" w:themeColor="text1" w:themeTint="BF"/>
                <w:sz w:val="20"/>
                <w:szCs w:val="20"/>
              </w:rPr>
              <w:t xml:space="preserve"> </w:t>
            </w:r>
            <w:r w:rsidRPr="00D90DD4">
              <w:rPr>
                <w:i/>
                <w:color w:val="767171" w:themeColor="background2" w:themeShade="80"/>
                <w:sz w:val="20"/>
                <w:szCs w:val="20"/>
              </w:rPr>
              <w:t xml:space="preserve">Slamon DJ et al., J Clin Oncol. 2018 08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6">
              <w:r>
                <w:rPr>
                  <w:sz w:val="20"/>
                  <w:rStyle w:val="Hyperlink"/>
                </w:rPr>
                <w:t xml:space="preserve">20179227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w:t>
            </w:r>
            <w:r>
              <w:rPr>
                <w:color w:val="404040" w:themeColor="text1" w:themeTint="BF"/>
                <w:sz w:val="20"/>
                <w:szCs w:val="20"/>
              </w:rPr>
              <w:t xml:space="preserve"> </w:t>
            </w:r>
            <w:r w:rsidRPr="00D90DD4">
              <w:rPr>
                <w:i/>
                <w:color w:val="767171" w:themeColor="background2" w:themeShade="80"/>
                <w:sz w:val="20"/>
                <w:szCs w:val="20"/>
              </w:rPr>
              <w:t xml:space="preserve">Houghton PJ, Clin Cancer Res. 2010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7">
              <w:r>
                <w:rPr>
                  <w:sz w:val="20"/>
                  <w:rStyle w:val="Hyperlink"/>
                </w:rPr>
                <w:t xml:space="preserve">24283268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is a potent inhibitor of activated hepatic stellate cell functions in vitro and in vivo, while demonstrating anti-angiogenic activities.</w:t>
            </w:r>
            <w:r>
              <w:rPr>
                <w:color w:val="404040" w:themeColor="text1" w:themeTint="BF"/>
                <w:sz w:val="20"/>
                <w:szCs w:val="20"/>
              </w:rPr>
              <w:t xml:space="preserve"> </w:t>
            </w:r>
            <w:r w:rsidRPr="00D90DD4">
              <w:rPr>
                <w:i/>
                <w:color w:val="767171" w:themeColor="background2" w:themeShade="80"/>
                <w:sz w:val="20"/>
                <w:szCs w:val="20"/>
              </w:rPr>
              <w:t xml:space="preserve">Piguet AC et al., Clin Sci (Lond). 2014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8">
              <w:r>
                <w:rPr>
                  <w:sz w:val="20"/>
                  <w:rStyle w:val="Hyperlink"/>
                </w:rPr>
                <w:t xml:space="preserve">26330617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Cellular and molecular effects of the mTOR inhibitor everolimus.</w:t>
            </w:r>
            <w:r>
              <w:rPr>
                <w:color w:val="404040" w:themeColor="text1" w:themeTint="BF"/>
                <w:sz w:val="20"/>
                <w:szCs w:val="20"/>
              </w:rPr>
              <w:t xml:space="preserve"> </w:t>
            </w:r>
            <w:r w:rsidRPr="00D90DD4">
              <w:rPr>
                <w:i/>
                <w:color w:val="767171" w:themeColor="background2" w:themeShade="80"/>
                <w:sz w:val="20"/>
                <w:szCs w:val="20"/>
              </w:rPr>
              <w:t xml:space="preserve">Saran U et al., Clin Sci (Lond). 2015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9">
              <w:r>
                <w:rPr>
                  <w:sz w:val="20"/>
                  <w:rStyle w:val="Hyperlink"/>
                </w:rPr>
                <w:t xml:space="preserve">30554116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Therapeutic targeting of angiogenesis molecular pathways in angiogenesis-dependent diseases.</w:t>
            </w:r>
            <w:r>
              <w:rPr>
                <w:color w:val="404040" w:themeColor="text1" w:themeTint="BF"/>
                <w:sz w:val="20"/>
                <w:szCs w:val="20"/>
              </w:rPr>
              <w:t xml:space="preserve"> </w:t>
            </w:r>
            <w:r w:rsidRPr="00D90DD4">
              <w:rPr>
                <w:i/>
                <w:color w:val="767171" w:themeColor="background2" w:themeShade="80"/>
                <w:sz w:val="20"/>
                <w:szCs w:val="20"/>
              </w:rPr>
              <w:t xml:space="preserve">Fallah A et al., Biomed Pharmacother. 2019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0">
              <w:r>
                <w:rPr>
                  <w:sz w:val="20"/>
                  <w:rStyle w:val="Hyperlink"/>
                </w:rPr>
                <w:t xml:space="preserve">30848427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mTOR inhibitor Everolimus-induced apoptosis in melanoma cells.</w:t>
            </w:r>
            <w:r>
              <w:rPr>
                <w:color w:val="404040" w:themeColor="text1" w:themeTint="BF"/>
                <w:sz w:val="20"/>
                <w:szCs w:val="20"/>
              </w:rPr>
              <w:t xml:space="preserve"> </w:t>
            </w:r>
            <w:r w:rsidRPr="00D90DD4">
              <w:rPr>
                <w:i/>
                <w:color w:val="767171" w:themeColor="background2" w:themeShade="80"/>
                <w:sz w:val="20"/>
                <w:szCs w:val="20"/>
              </w:rPr>
              <w:t xml:space="preserve">Ciołczyk-Wierzbicka D et al., J Cell Commun Signal. 2019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1">
              <w:r>
                <w:rPr>
                  <w:sz w:val="20"/>
                  <w:rStyle w:val="Hyperlink"/>
                </w:rPr>
                <w:t xml:space="preserve">32770287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Immune system and angiogenesis-related potential surrogate biomarkers of response to everolimus-based treatment in hormone receptor-positive breast cancer: an exploratory study.</w:t>
            </w:r>
            <w:r>
              <w:rPr>
                <w:color w:val="404040" w:themeColor="text1" w:themeTint="BF"/>
                <w:sz w:val="20"/>
                <w:szCs w:val="20"/>
              </w:rPr>
              <w:t xml:space="preserve"> </w:t>
            </w:r>
            <w:r w:rsidRPr="00D90DD4">
              <w:rPr>
                <w:i/>
                <w:color w:val="767171" w:themeColor="background2" w:themeShade="80"/>
                <w:sz w:val="20"/>
                <w:szCs w:val="20"/>
              </w:rPr>
              <w:t xml:space="preserve">Schettini F et al., Breast Cancer Res Treat. 2020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2">
              <w:r>
                <w:rPr>
                  <w:sz w:val="20"/>
                  <w:rStyle w:val="Hyperlink"/>
                </w:rPr>
                <w:t xml:space="preserve">18653228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Efficacy of everolimus in advanced renal cell carcinoma: a double-blind, randomised, placebo-controlled phase III trial.</w:t>
            </w:r>
            <w:r>
              <w:rPr>
                <w:color w:val="404040" w:themeColor="text1" w:themeTint="BF"/>
                <w:sz w:val="20"/>
                <w:szCs w:val="20"/>
              </w:rPr>
              <w:t xml:space="preserve"> </w:t>
            </w:r>
            <w:r w:rsidRPr="00D90DD4">
              <w:rPr>
                <w:i/>
                <w:color w:val="767171" w:themeColor="background2" w:themeShade="80"/>
                <w:sz w:val="20"/>
                <w:szCs w:val="20"/>
              </w:rPr>
              <w:t xml:space="preserve">Motzer RJ et al., Lancet. 2008 Aug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3">
              <w:r>
                <w:rPr>
                  <w:sz w:val="20"/>
                  <w:rStyle w:val="Hyperlink"/>
                </w:rPr>
                <w:t xml:space="preserve">26703889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for the treatment of advanced, non-functional neuroendocrine tumours of the lung or gastrointestinal tract (RADIANT-4): a randomised, placebo-controlled, phase 3 study.</w:t>
            </w:r>
            <w:r>
              <w:rPr>
                <w:color w:val="404040" w:themeColor="text1" w:themeTint="BF"/>
                <w:sz w:val="20"/>
                <w:szCs w:val="20"/>
              </w:rPr>
              <w:t xml:space="preserve"> </w:t>
            </w:r>
            <w:r w:rsidRPr="00D90DD4">
              <w:rPr>
                <w:i/>
                <w:color w:val="767171" w:themeColor="background2" w:themeShade="80"/>
                <w:sz w:val="20"/>
                <w:szCs w:val="20"/>
              </w:rPr>
              <w:t xml:space="preserve">Yao JC et al., Lancet. 2016 Mar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4">
              <w:r>
                <w:rPr>
                  <w:sz w:val="20"/>
                  <w:rStyle w:val="Hyperlink"/>
                </w:rPr>
                <w:t xml:space="preserve">29757017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in the treatment of neuroendocrine tumors: efficacy, side-effects, resistance, and factors affecting its place in the treatment sequence.</w:t>
            </w:r>
            <w:r>
              <w:rPr>
                <w:color w:val="404040" w:themeColor="text1" w:themeTint="BF"/>
                <w:sz w:val="20"/>
                <w:szCs w:val="20"/>
              </w:rPr>
              <w:t xml:space="preserve"> </w:t>
            </w:r>
            <w:r w:rsidRPr="00D90DD4">
              <w:rPr>
                <w:i/>
                <w:color w:val="767171" w:themeColor="background2" w:themeShade="80"/>
                <w:sz w:val="20"/>
                <w:szCs w:val="20"/>
              </w:rPr>
              <w:t xml:space="preserve">Lee L et al., Expert Opin Pharmacother. 2018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5">
              <w:r>
                <w:rPr>
                  <w:sz w:val="20"/>
                  <w:rStyle w:val="Hyperlink"/>
                </w:rPr>
                <w:t xml:space="preserve">21047224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for subependymal giant-cell astrocytomas in tuberous sclerosis.</w:t>
            </w:r>
            <w:r>
              <w:rPr>
                <w:color w:val="404040" w:themeColor="text1" w:themeTint="BF"/>
                <w:sz w:val="20"/>
                <w:szCs w:val="20"/>
              </w:rPr>
              <w:t xml:space="preserve"> </w:t>
            </w:r>
            <w:r w:rsidRPr="00D90DD4">
              <w:rPr>
                <w:i/>
                <w:color w:val="767171" w:themeColor="background2" w:themeShade="80"/>
                <w:sz w:val="20"/>
                <w:szCs w:val="20"/>
              </w:rPr>
              <w:t xml:space="preserve">Krueger DA et al., N Engl J Med. 2010 Nov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6">
              <w:r>
                <w:rPr>
                  <w:sz w:val="20"/>
                  <w:rStyle w:val="Hyperlink"/>
                </w:rPr>
                <w:t xml:space="preserve">23325902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long-term safety and efficacy in subependymal giant cell astrocytoma.</w:t>
            </w:r>
            <w:r>
              <w:rPr>
                <w:color w:val="404040" w:themeColor="text1" w:themeTint="BF"/>
                <w:sz w:val="20"/>
                <w:szCs w:val="20"/>
              </w:rPr>
              <w:t xml:space="preserve"> </w:t>
            </w:r>
            <w:r w:rsidRPr="00D90DD4">
              <w:rPr>
                <w:i/>
                <w:color w:val="767171" w:themeColor="background2" w:themeShade="80"/>
                <w:sz w:val="20"/>
                <w:szCs w:val="20"/>
              </w:rPr>
              <w:t xml:space="preserve">Krueger DA et al., Neurology. 2013 Feb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7">
              <w:r>
                <w:rPr>
                  <w:sz w:val="20"/>
                  <w:rStyle w:val="Hyperlink"/>
                </w:rPr>
                <w:t xml:space="preserve">30169322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Adjunctive everolimus for children and adolescents with treatment-refractory seizures associated with tuberous sclerosis complex: post-hoc analysis of the phase 3 EXIST-3 trial.</w:t>
            </w:r>
            <w:r>
              <w:rPr>
                <w:color w:val="404040" w:themeColor="text1" w:themeTint="BF"/>
                <w:sz w:val="20"/>
                <w:szCs w:val="20"/>
              </w:rPr>
              <w:t xml:space="preserve"> </w:t>
            </w:r>
            <w:r w:rsidRPr="00D90DD4">
              <w:rPr>
                <w:i/>
                <w:color w:val="767171" w:themeColor="background2" w:themeShade="80"/>
                <w:sz w:val="20"/>
                <w:szCs w:val="20"/>
              </w:rPr>
              <w:t xml:space="preserve">Curatolo P et al., Lancet Child Adolesc Health. 2018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8">
              <w:r>
                <w:rPr>
                  <w:sz w:val="20"/>
                  <w:rStyle w:val="Hyperlink"/>
                </w:rPr>
                <w:t xml:space="preserve">22149876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in postmenopausal hormone-receptor-positive advanced breast cancer.</w:t>
            </w:r>
            <w:r>
              <w:rPr>
                <w:color w:val="404040" w:themeColor="text1" w:themeTint="BF"/>
                <w:sz w:val="20"/>
                <w:szCs w:val="20"/>
              </w:rPr>
              <w:t xml:space="preserve"> </w:t>
            </w:r>
            <w:r w:rsidRPr="00D90DD4">
              <w:rPr>
                <w:i/>
                <w:color w:val="767171" w:themeColor="background2" w:themeShade="80"/>
                <w:sz w:val="20"/>
                <w:szCs w:val="20"/>
              </w:rPr>
              <w:t xml:space="preserve">Baselga J et al., N Engl J Med. 2012 Feb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9">
              <w:r>
                <w:rPr>
                  <w:sz w:val="20"/>
                  <w:rStyle w:val="Hyperlink"/>
                </w:rPr>
                <w:t xml:space="preserve">26482279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Lenvatinib, everolimus, and the combination in patients with metastatic renal cell carcinoma: a randomised, phase 2, open-label, multicentre trial.</w:t>
            </w:r>
            <w:r>
              <w:rPr>
                <w:color w:val="404040" w:themeColor="text1" w:themeTint="BF"/>
                <w:sz w:val="20"/>
                <w:szCs w:val="20"/>
              </w:rPr>
              <w:t xml:space="preserve"> </w:t>
            </w:r>
            <w:r w:rsidRPr="00D90DD4">
              <w:rPr>
                <w:i/>
                <w:color w:val="767171" w:themeColor="background2" w:themeShade="80"/>
                <w:sz w:val="20"/>
                <w:szCs w:val="20"/>
              </w:rPr>
              <w:t xml:space="preserve">Motzer RJ et al., Lancet Oncol. 2015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0">
              <w:r>
                <w:rPr>
                  <w:sz w:val="20"/>
                  <w:rStyle w:val="Hyperlink"/>
                </w:rPr>
                <w:t xml:space="preserve">32020516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c-MET as a Potential Resistance Mechanism to Everolimus in Breast Cancer: From a Case Report to Patient Cohort Analysis.</w:t>
            </w:r>
            <w:r>
              <w:rPr>
                <w:color w:val="404040" w:themeColor="text1" w:themeTint="BF"/>
                <w:sz w:val="20"/>
                <w:szCs w:val="20"/>
              </w:rPr>
              <w:t xml:space="preserve"> </w:t>
            </w:r>
            <w:r w:rsidRPr="00D90DD4">
              <w:rPr>
                <w:i/>
                <w:color w:val="767171" w:themeColor="background2" w:themeShade="80"/>
                <w:sz w:val="20"/>
                <w:szCs w:val="20"/>
              </w:rPr>
              <w:t xml:space="preserve">Van den Bossche V et al., Target Oncol. 2020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1">
              <w:r>
                <w:rPr>
                  <w:sz w:val="20"/>
                  <w:rStyle w:val="Hyperlink"/>
                </w:rPr>
                <w:t xml:space="preserve">31267758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resistance in clear cell renal cell carcinoma: miRNA-101 and HIF-2α as molecular triggers?</w:t>
            </w:r>
            <w:r>
              <w:rPr>
                <w:color w:val="404040" w:themeColor="text1" w:themeTint="BF"/>
                <w:sz w:val="20"/>
                <w:szCs w:val="20"/>
              </w:rPr>
              <w:t xml:space="preserve"> </w:t>
            </w:r>
            <w:r w:rsidRPr="00D90DD4">
              <w:rPr>
                <w:i/>
                <w:color w:val="767171" w:themeColor="background2" w:themeShade="80"/>
                <w:sz w:val="20"/>
                <w:szCs w:val="20"/>
              </w:rPr>
              <w:t xml:space="preserve">Nogueira I et al., Future Oncol. 2019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2">
              <w:r>
                <w:rPr>
                  <w:sz w:val="20"/>
                  <w:rStyle w:val="Hyperlink"/>
                </w:rPr>
                <w:t xml:space="preserve">29895527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GSK3 and its reversal with GSK3 antagonism in everolimus resistance.</w:t>
            </w:r>
            <w:r>
              <w:rPr>
                <w:color w:val="404040" w:themeColor="text1" w:themeTint="BF"/>
                <w:sz w:val="20"/>
                <w:szCs w:val="20"/>
              </w:rPr>
              <w:t xml:space="preserve"> </w:t>
            </w:r>
            <w:r w:rsidRPr="00D90DD4">
              <w:rPr>
                <w:i/>
                <w:color w:val="767171" w:themeColor="background2" w:themeShade="80"/>
                <w:sz w:val="20"/>
                <w:szCs w:val="20"/>
              </w:rPr>
              <w:t xml:space="preserve">Aristizabal Prada ET et al., Endocr Relat Cancer. 2018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3">
              <w:r>
                <w:rPr>
                  <w:sz w:val="20"/>
                  <w:rStyle w:val="Hyperlink"/>
                </w:rPr>
                <w:t xml:space="preserve">14513432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Aromatase inhibitors: mechanism of action and role in the treatment of breast cancer.</w:t>
            </w:r>
            <w:r>
              <w:rPr>
                <w:color w:val="404040" w:themeColor="text1" w:themeTint="BF"/>
                <w:sz w:val="20"/>
                <w:szCs w:val="20"/>
              </w:rPr>
              <w:t xml:space="preserve"> </w:t>
            </w:r>
            <w:r w:rsidRPr="00D90DD4">
              <w:rPr>
                <w:i/>
                <w:color w:val="767171" w:themeColor="background2" w:themeShade="80"/>
                <w:sz w:val="20"/>
                <w:szCs w:val="20"/>
              </w:rPr>
              <w:t xml:space="preserve">Miller WR, Semin Oncol. 2003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4">
              <w:r>
                <w:rPr>
                  <w:sz w:val="20"/>
                  <w:rStyle w:val="Hyperlink"/>
                </w:rPr>
                <w:t xml:space="preserve">24367167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Adjuvant treatment of breast cancer in postmenopausal women: role of exemestane.</w:t>
            </w:r>
            <w:r>
              <w:rPr>
                <w:color w:val="404040" w:themeColor="text1" w:themeTint="BF"/>
                <w:sz w:val="20"/>
                <w:szCs w:val="20"/>
              </w:rPr>
              <w:t xml:space="preserve"> </w:t>
            </w:r>
            <w:r w:rsidRPr="00D90DD4">
              <w:rPr>
                <w:i/>
                <w:color w:val="767171" w:themeColor="background2" w:themeShade="80"/>
                <w:sz w:val="20"/>
                <w:szCs w:val="20"/>
              </w:rPr>
              <w:t xml:space="preserve">Macpherson IR et al., Breast Cancer (Dove Med Press). 2010 Oct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5">
              <w:r>
                <w:rPr>
                  <w:sz w:val="20"/>
                  <w:rStyle w:val="Hyperlink"/>
                </w:rPr>
                <w:t xml:space="preserve">32700026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Endocrine Therapy for Breast Cancer: A Model of Hormonal Manipulation.</w:t>
            </w:r>
            <w:r>
              <w:rPr>
                <w:color w:val="404040" w:themeColor="text1" w:themeTint="BF"/>
                <w:sz w:val="20"/>
                <w:szCs w:val="20"/>
              </w:rPr>
              <w:t xml:space="preserve"> </w:t>
            </w:r>
            <w:r w:rsidRPr="00D90DD4">
              <w:rPr>
                <w:i/>
                <w:color w:val="767171" w:themeColor="background2" w:themeShade="80"/>
                <w:sz w:val="20"/>
                <w:szCs w:val="20"/>
              </w:rPr>
              <w:t xml:space="preserve">Johnston SJ et al., Oncol Ther. 2018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6">
              <w:r>
                <w:rPr>
                  <w:sz w:val="20"/>
                  <w:rStyle w:val="Hyperlink"/>
                </w:rPr>
                <w:t xml:space="preserve">31235695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beneficial androgenic action of steroidal aromatase inactivators in estrogen-dependent breast cancer after failure of nonsteroidal drugs.</w:t>
            </w:r>
            <w:r>
              <w:rPr>
                <w:color w:val="404040" w:themeColor="text1" w:themeTint="BF"/>
                <w:sz w:val="20"/>
                <w:szCs w:val="20"/>
              </w:rPr>
              <w:t xml:space="preserve"> </w:t>
            </w:r>
            <w:r w:rsidRPr="00D90DD4">
              <w:rPr>
                <w:i/>
                <w:color w:val="767171" w:themeColor="background2" w:themeShade="80"/>
                <w:sz w:val="20"/>
                <w:szCs w:val="20"/>
              </w:rPr>
              <w:t xml:space="preserve">Gao L et al., Cell Death Dis. 2019 06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7">
              <w:r>
                <w:rPr>
                  <w:sz w:val="20"/>
                  <w:rStyle w:val="Hyperlink"/>
                </w:rPr>
                <w:t xml:space="preserve">10735887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Exemestane is superior to megestrol acetate after tamoxifen failure in postmenopausal women with advanced breast cancer: results of a phase III randomized double-blind trial. The Exemestane Study Group.</w:t>
            </w:r>
            <w:r>
              <w:rPr>
                <w:color w:val="404040" w:themeColor="text1" w:themeTint="BF"/>
                <w:sz w:val="20"/>
                <w:szCs w:val="20"/>
              </w:rPr>
              <w:t xml:space="preserve"> </w:t>
            </w:r>
            <w:r w:rsidRPr="00D90DD4">
              <w:rPr>
                <w:i/>
                <w:color w:val="767171" w:themeColor="background2" w:themeShade="80"/>
                <w:sz w:val="20"/>
                <w:szCs w:val="20"/>
              </w:rPr>
              <w:t xml:space="preserve">Kaufmann M et al., J Clin Oncol. 2000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8">
              <w:r>
                <w:rPr>
                  <w:sz w:val="20"/>
                  <w:rStyle w:val="Hyperlink"/>
                </w:rPr>
                <w:t xml:space="preserve">15014181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randomized trial of exemestane after two to three years of tamoxifen therapy in postmenopausal women with primary breast cancer.</w:t>
            </w:r>
            <w:r>
              <w:rPr>
                <w:color w:val="404040" w:themeColor="text1" w:themeTint="BF"/>
                <w:sz w:val="20"/>
                <w:szCs w:val="20"/>
              </w:rPr>
              <w:t xml:space="preserve"> </w:t>
            </w:r>
            <w:r w:rsidRPr="00D90DD4">
              <w:rPr>
                <w:i/>
                <w:color w:val="767171" w:themeColor="background2" w:themeShade="80"/>
                <w:sz w:val="20"/>
                <w:szCs w:val="20"/>
              </w:rPr>
              <w:t xml:space="preserve">Coombes RC et al., N Engl J Med. 2004 Mar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9">
              <w:r>
                <w:rPr>
                  <w:sz w:val="20"/>
                  <w:rStyle w:val="Hyperlink"/>
                </w:rPr>
                <w:t xml:space="preserve">17307102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Survival and safety of exemestane versus tamoxifen after 2-3 years' tamoxifen treatment (Intergroup Exemestane Study): a randomised controlled trial.</w:t>
            </w:r>
            <w:r>
              <w:rPr>
                <w:color w:val="404040" w:themeColor="text1" w:themeTint="BF"/>
                <w:sz w:val="20"/>
                <w:szCs w:val="20"/>
              </w:rPr>
              <w:t xml:space="preserve"> </w:t>
            </w:r>
            <w:r w:rsidRPr="00D90DD4">
              <w:rPr>
                <w:i/>
                <w:color w:val="767171" w:themeColor="background2" w:themeShade="80"/>
                <w:sz w:val="20"/>
                <w:szCs w:val="20"/>
              </w:rPr>
              <w:t xml:space="preserve">Coombes RC et al., Lancet. 2007 Feb 17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0">
              <w:r>
                <w:rPr>
                  <w:sz w:val="20"/>
                  <w:rStyle w:val="Hyperlink"/>
                </w:rPr>
                <w:t xml:space="preserve">25810012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plus exemestane for the treatment of advanced breast cancer: a review of subanalyses from BOLERO-2.</w:t>
            </w:r>
            <w:r>
              <w:rPr>
                <w:color w:val="404040" w:themeColor="text1" w:themeTint="BF"/>
                <w:sz w:val="20"/>
                <w:szCs w:val="20"/>
              </w:rPr>
              <w:t xml:space="preserve"> </w:t>
            </w:r>
            <w:r w:rsidRPr="00D90DD4">
              <w:rPr>
                <w:i/>
                <w:color w:val="767171" w:themeColor="background2" w:themeShade="80"/>
                <w:sz w:val="20"/>
                <w:szCs w:val="20"/>
              </w:rPr>
              <w:t xml:space="preserve">Hortobagyi GN, Neoplasia. 2015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1">
              <w:r>
                <w:rPr>
                  <w:sz w:val="20"/>
                  <w:rStyle w:val="Hyperlink"/>
                </w:rPr>
                <w:t xml:space="preserve">26064072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utility of exemestane in the treatment of breast cancer.</w:t>
            </w:r>
            <w:r>
              <w:rPr>
                <w:color w:val="404040" w:themeColor="text1" w:themeTint="BF"/>
                <w:sz w:val="20"/>
                <w:szCs w:val="20"/>
              </w:rPr>
              <w:t xml:space="preserve"> </w:t>
            </w:r>
            <w:r w:rsidRPr="00D90DD4">
              <w:rPr>
                <w:i/>
                <w:color w:val="767171" w:themeColor="background2" w:themeShade="80"/>
                <w:sz w:val="20"/>
                <w:szCs w:val="20"/>
              </w:rPr>
              <w:t xml:space="preserve">Zucchini G et al., Int J Womens Health. 2015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2">
              <w:r>
                <w:rPr>
                  <w:sz w:val="20"/>
                  <w:rStyle w:val="Hyperlink"/>
                </w:rPr>
                <w:t xml:space="preserve">29116433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Safety of everolimus plus exemestane in patients with hormone-receptor-positive, HER2-negative locally advanced or metastatic breast cancer: results of phase IIIb BALLET trial in Spain.</w:t>
            </w:r>
            <w:r>
              <w:rPr>
                <w:color w:val="404040" w:themeColor="text1" w:themeTint="BF"/>
                <w:sz w:val="20"/>
                <w:szCs w:val="20"/>
              </w:rPr>
              <w:t xml:space="preserve"> </w:t>
            </w:r>
            <w:r w:rsidRPr="00D90DD4">
              <w:rPr>
                <w:i/>
                <w:color w:val="767171" w:themeColor="background2" w:themeShade="80"/>
                <w:sz w:val="20"/>
                <w:szCs w:val="20"/>
              </w:rPr>
              <w:t xml:space="preserve">Ciruelos E et al., Clin Transl Oncol. 2018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3">
              <w:r>
                <w:rPr>
                  <w:sz w:val="20"/>
                  <w:rStyle w:val="Hyperlink"/>
                </w:rPr>
                <w:t xml:space="preserve">34461272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Efficacy and safety profile of avelumab monotherapy.</w:t>
            </w:r>
            <w:r>
              <w:rPr>
                <w:color w:val="404040" w:themeColor="text1" w:themeTint="BF"/>
                <w:sz w:val="20"/>
                <w:szCs w:val="20"/>
              </w:rPr>
              <w:t xml:space="preserve"> </w:t>
            </w:r>
            <w:r w:rsidRPr="00D90DD4">
              <w:rPr>
                <w:i/>
                <w:color w:val="767171" w:themeColor="background2" w:themeShade="80"/>
                <w:sz w:val="20"/>
                <w:szCs w:val="20"/>
              </w:rPr>
              <w:t xml:space="preserve">Zhao B et al., Crit Rev Oncol Hematol. 2021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4">
              <w:r>
                <w:rPr>
                  <w:sz w:val="20"/>
                  <w:rStyle w:val="Hyperlink"/>
                </w:rPr>
                <w:t xml:space="preserve">28407031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clinical trial innovation and collaboration to advance anti-PD-L1 immunotherapy.</w:t>
            </w:r>
            <w:r>
              <w:rPr>
                <w:color w:val="404040" w:themeColor="text1" w:themeTint="BF"/>
                <w:sz w:val="20"/>
                <w:szCs w:val="20"/>
              </w:rPr>
              <w:t xml:space="preserve"> </w:t>
            </w:r>
            <w:r w:rsidRPr="00D90DD4">
              <w:rPr>
                <w:i/>
                <w:color w:val="767171" w:themeColor="background2" w:themeShade="80"/>
                <w:sz w:val="20"/>
                <w:szCs w:val="20"/>
              </w:rPr>
              <w:t xml:space="preserve">Chin K et al., Ann Oncol. 2017 07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5">
              <w:r>
                <w:rPr>
                  <w:sz w:val="20"/>
                  <w:rStyle w:val="Hyperlink"/>
                </w:rPr>
                <w:t xml:space="preserve">35015593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locally advanced or metastatic urothelial carcinoma.</w:t>
            </w:r>
            <w:r>
              <w:rPr>
                <w:color w:val="404040" w:themeColor="text1" w:themeTint="BF"/>
                <w:sz w:val="20"/>
                <w:szCs w:val="20"/>
              </w:rPr>
              <w:t xml:space="preserve"> </w:t>
            </w:r>
            <w:r w:rsidRPr="00D90DD4">
              <w:rPr>
                <w:i/>
                <w:color w:val="767171" w:themeColor="background2" w:themeShade="80"/>
                <w:sz w:val="20"/>
                <w:szCs w:val="20"/>
              </w:rPr>
              <w:t xml:space="preserve">Jackson-Spence F et al., Expert Rev Anticancer Ther. 2022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6">
              <w:r>
                <w:rPr>
                  <w:sz w:val="20"/>
                  <w:rStyle w:val="Hyperlink"/>
                </w:rPr>
                <w:t xml:space="preserve">33839438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first-line maintenance in locally advanced or metastatic urothelial carcinoma: Applying clinical trial findings to clinical practice.</w:t>
            </w:r>
            <w:r>
              <w:rPr>
                <w:color w:val="404040" w:themeColor="text1" w:themeTint="BF"/>
                <w:sz w:val="20"/>
                <w:szCs w:val="20"/>
              </w:rPr>
              <w:t xml:space="preserve"> </w:t>
            </w:r>
            <w:r w:rsidRPr="00D90DD4">
              <w:rPr>
                <w:i/>
                <w:color w:val="767171" w:themeColor="background2" w:themeShade="80"/>
                <w:sz w:val="20"/>
                <w:szCs w:val="20"/>
              </w:rPr>
              <w:t xml:space="preserve">Grivas P et al., Cancer Treat Rev. 2021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7">
              <w:r>
                <w:rPr>
                  <w:sz w:val="20"/>
                  <w:rStyle w:val="Hyperlink"/>
                </w:rPr>
                <w:t xml:space="preserve">33206587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Maintenance avelumab for metastatic urothelial cancer: a new standard of care.</w:t>
            </w:r>
            <w:r>
              <w:rPr>
                <w:color w:val="404040" w:themeColor="text1" w:themeTint="BF"/>
                <w:sz w:val="20"/>
                <w:szCs w:val="20"/>
              </w:rPr>
              <w:t xml:space="preserve"> </w:t>
            </w:r>
            <w:r w:rsidRPr="00D90DD4">
              <w:rPr>
                <w:i/>
                <w:color w:val="767171" w:themeColor="background2" w:themeShade="80"/>
                <w:sz w:val="20"/>
                <w:szCs w:val="20"/>
              </w:rPr>
              <w:t xml:space="preserve">Erck A et al., Cancer Biol Ther. 2020 12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8">
              <w:r>
                <w:rPr>
                  <w:sz w:val="20"/>
                  <w:rStyle w:val="Hyperlink"/>
                </w:rPr>
                <w:t xml:space="preserve">28375787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an Anti-Programmed Death-Ligand 1 Antibody, In Patients With Refractory Metastatic Urothelial Carcinoma: Results From a Multicenter, Phase Ib Study.</w:t>
            </w:r>
            <w:r>
              <w:rPr>
                <w:color w:val="404040" w:themeColor="text1" w:themeTint="BF"/>
                <w:sz w:val="20"/>
                <w:szCs w:val="20"/>
              </w:rPr>
              <w:t xml:space="preserve"> </w:t>
            </w:r>
            <w:r w:rsidRPr="00D90DD4">
              <w:rPr>
                <w:i/>
                <w:color w:val="767171" w:themeColor="background2" w:themeShade="80"/>
                <w:sz w:val="20"/>
                <w:szCs w:val="20"/>
              </w:rPr>
              <w:t xml:space="preserve">Apolo AB et al., J Clin Oncol. 2017 Jul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9">
              <w:r>
                <w:rPr>
                  <w:sz w:val="20"/>
                  <w:rStyle w:val="Hyperlink"/>
                </w:rPr>
                <w:t xml:space="preserve">29217288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metastatic urothelial carcinoma after platinum failure (JAVELIN Solid Tumor): pooled results from two expansion cohorts of an open-label, phase 1 trial.</w:t>
            </w:r>
            <w:r>
              <w:rPr>
                <w:color w:val="404040" w:themeColor="text1" w:themeTint="BF"/>
                <w:sz w:val="20"/>
                <w:szCs w:val="20"/>
              </w:rPr>
              <w:t xml:space="preserve"> </w:t>
            </w:r>
            <w:r w:rsidRPr="00D90DD4">
              <w:rPr>
                <w:i/>
                <w:color w:val="767171" w:themeColor="background2" w:themeShade="80"/>
                <w:sz w:val="20"/>
                <w:szCs w:val="20"/>
              </w:rPr>
              <w:t xml:space="preserve">Patel MR et al., Lancet Oncol. 2018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0">
              <w:r>
                <w:rPr>
                  <w:sz w:val="20"/>
                  <w:rStyle w:val="Hyperlink"/>
                </w:rPr>
                <w:t xml:space="preserve">30779531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plus Axitinib versus Sunitinib for Advanced Renal-Cell Carcinoma.</w:t>
            </w:r>
            <w:r>
              <w:rPr>
                <w:color w:val="404040" w:themeColor="text1" w:themeTint="BF"/>
                <w:sz w:val="20"/>
                <w:szCs w:val="20"/>
              </w:rPr>
              <w:t xml:space="preserve"> </w:t>
            </w:r>
            <w:r w:rsidRPr="00D90DD4">
              <w:rPr>
                <w:i/>
                <w:color w:val="767171" w:themeColor="background2" w:themeShade="80"/>
                <w:sz w:val="20"/>
                <w:szCs w:val="20"/>
              </w:rPr>
              <w:t xml:space="preserve">Motzer RJ et al., N Engl J Med. 2019 03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1">
              <w:r>
                <w:rPr>
                  <w:sz w:val="20"/>
                  <w:rStyle w:val="Hyperlink"/>
                </w:rPr>
                <w:t xml:space="preserve">32339648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Updated efficacy results from the JAVELIN Renal 101 trial: first-line avelumab plus axitinib versus sunitinib in patients with advanced renal cell carcinoma.</w:t>
            </w:r>
            <w:r>
              <w:rPr>
                <w:color w:val="404040" w:themeColor="text1" w:themeTint="BF"/>
                <w:sz w:val="20"/>
                <w:szCs w:val="20"/>
              </w:rPr>
              <w:t xml:space="preserve"> </w:t>
            </w:r>
            <w:r w:rsidRPr="00D90DD4">
              <w:rPr>
                <w:i/>
                <w:color w:val="767171" w:themeColor="background2" w:themeShade="80"/>
                <w:sz w:val="20"/>
                <w:szCs w:val="20"/>
              </w:rPr>
              <w:t xml:space="preserve">Choueiri TK et al., Ann Oncol. 2020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2">
              <w:r>
                <w:rPr>
                  <w:sz w:val="20"/>
                  <w:rStyle w:val="Hyperlink"/>
                </w:rPr>
                <w:t xml:space="preserve">34715570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patients with previously treated metastatic Merkel cell carcinoma (JAVELIN Merkel 200): updated overall survival data after &gt;5 years of follow-up.</w:t>
            </w:r>
            <w:r>
              <w:rPr>
                <w:color w:val="404040" w:themeColor="text1" w:themeTint="BF"/>
                <w:sz w:val="20"/>
                <w:szCs w:val="20"/>
              </w:rPr>
              <w:t xml:space="preserve"> </w:t>
            </w:r>
            <w:r w:rsidRPr="00D90DD4">
              <w:rPr>
                <w:i/>
                <w:color w:val="767171" w:themeColor="background2" w:themeShade="80"/>
                <w:sz w:val="20"/>
                <w:szCs w:val="20"/>
              </w:rPr>
              <w:t xml:space="preserve">D'Angelo SP et al., ESMO Open. 2021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3">
              <w:r>
                <w:rPr>
                  <w:sz w:val="20"/>
                  <w:rStyle w:val="Hyperlink"/>
                </w:rPr>
                <w:t xml:space="preserve">34301810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First-line avelumab in a cohort of 116 patients with metastatic Merkel cell carcinoma (JAVELIN Merkel 200): primary and biomarker analyses of a phase II study.</w:t>
            </w:r>
            <w:r>
              <w:rPr>
                <w:color w:val="404040" w:themeColor="text1" w:themeTint="BF"/>
                <w:sz w:val="20"/>
                <w:szCs w:val="20"/>
              </w:rPr>
              <w:t xml:space="preserve"> </w:t>
            </w:r>
            <w:r w:rsidRPr="00D90DD4">
              <w:rPr>
                <w:i/>
                <w:color w:val="767171" w:themeColor="background2" w:themeShade="80"/>
                <w:sz w:val="20"/>
                <w:szCs w:val="20"/>
              </w:rPr>
              <w:t xml:space="preserve">D'Angelo SP et al., J Immunother Cancer.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4">
              <w:r>
                <w:rPr>
                  <w:sz w:val="20"/>
                  <w:rStyle w:val="Hyperlink"/>
                </w:rPr>
                <w:t xml:space="preserve">27592805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patients with chemotherapy-refractory metastatic Merkel cell carcinoma: a multicentre, single-group, open-label, phase 2 trial.</w:t>
            </w:r>
            <w:r>
              <w:rPr>
                <w:color w:val="404040" w:themeColor="text1" w:themeTint="BF"/>
                <w:sz w:val="20"/>
                <w:szCs w:val="20"/>
              </w:rPr>
              <w:t xml:space="preserve"> </w:t>
            </w:r>
            <w:r w:rsidRPr="00D90DD4">
              <w:rPr>
                <w:i/>
                <w:color w:val="767171" w:themeColor="background2" w:themeShade="80"/>
                <w:sz w:val="20"/>
                <w:szCs w:val="20"/>
              </w:rPr>
              <w:t xml:space="preserve">Kaufman HL et al., Lancet Oncol. 2016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5">
              <w:r>
                <w:rPr>
                  <w:sz w:val="20"/>
                  <w:rStyle w:val="Hyperlink"/>
                </w:rPr>
                <w:t xml:space="preserve">25616434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first global approval.</w:t>
            </w:r>
            <w:r>
              <w:rPr>
                <w:color w:val="404040" w:themeColor="text1" w:themeTint="BF"/>
                <w:sz w:val="20"/>
                <w:szCs w:val="20"/>
              </w:rPr>
              <w:t xml:space="preserve"> </w:t>
            </w:r>
            <w:r w:rsidRPr="00D90DD4">
              <w:rPr>
                <w:i/>
                <w:color w:val="767171" w:themeColor="background2" w:themeShade="80"/>
                <w:sz w:val="20"/>
                <w:szCs w:val="20"/>
              </w:rPr>
              <w:t xml:space="preserve">Deeks ED, Drugs. 2015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6">
              <w:r>
                <w:rPr>
                  <w:sz w:val="20"/>
                  <w:rStyle w:val="Hyperlink"/>
                </w:rPr>
                <w:t xml:space="preserve">25757679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an oral PARP-1 and PARP-2 inhibitor with promising activity in ovarian cancer.</w:t>
            </w:r>
            <w:r>
              <w:rPr>
                <w:color w:val="404040" w:themeColor="text1" w:themeTint="BF"/>
                <w:sz w:val="20"/>
                <w:szCs w:val="20"/>
              </w:rPr>
              <w:t xml:space="preserve"> </w:t>
            </w:r>
            <w:r w:rsidRPr="00D90DD4">
              <w:rPr>
                <w:i/>
                <w:color w:val="767171" w:themeColor="background2" w:themeShade="80"/>
                <w:sz w:val="20"/>
                <w:szCs w:val="20"/>
              </w:rPr>
              <w:t xml:space="preserve">Gunderson CC et al., Future Oncol. 2015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7">
              <w:r>
                <w:rPr>
                  <w:sz w:val="20"/>
                  <w:rStyle w:val="Hyperlink"/>
                </w:rPr>
                <w:t xml:space="preserve">30691122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PARP-1/2 Inhibitor Olaparib Prevents or Partially Reverts EMT Induced by TGF-β in NMuMG Cells.</w:t>
            </w:r>
            <w:r>
              <w:rPr>
                <w:color w:val="404040" w:themeColor="text1" w:themeTint="BF"/>
                <w:sz w:val="20"/>
                <w:szCs w:val="20"/>
              </w:rPr>
              <w:t xml:space="preserve"> </w:t>
            </w:r>
            <w:r w:rsidRPr="00D90DD4">
              <w:rPr>
                <w:i/>
                <w:color w:val="767171" w:themeColor="background2" w:themeShade="80"/>
                <w:sz w:val="20"/>
                <w:szCs w:val="20"/>
              </w:rPr>
              <w:t xml:space="preserve">Schacke M et al., Int J Mol Sci. 2019 Jan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8">
              <w:r>
                <w:rPr>
                  <w:sz w:val="20"/>
                  <w:rStyle w:val="Hyperlink"/>
                </w:rPr>
                <w:t xml:space="preserve">32782491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 inhibition and immune modulation: scientific rationale and perspectives for the treatment of gynecologic cancers.</w:t>
            </w:r>
            <w:r>
              <w:rPr>
                <w:color w:val="404040" w:themeColor="text1" w:themeTint="BF"/>
                <w:sz w:val="20"/>
                <w:szCs w:val="20"/>
              </w:rPr>
              <w:t xml:space="preserve"> </w:t>
            </w:r>
            <w:r w:rsidRPr="00D90DD4">
              <w:rPr>
                <w:i/>
                <w:color w:val="767171" w:themeColor="background2" w:themeShade="80"/>
                <w:sz w:val="20"/>
                <w:szCs w:val="20"/>
              </w:rPr>
              <w:t xml:space="preserve">Lee EK et al., Ther Adv Med Oncol.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9">
              <w:r>
                <w:rPr>
                  <w:sz w:val="20"/>
                  <w:rStyle w:val="Hyperlink"/>
                </w:rPr>
                <w:t xml:space="preserve">30177437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PARP inhibitor sensitivity and resistance.</w:t>
            </w:r>
            <w:r>
              <w:rPr>
                <w:color w:val="404040" w:themeColor="text1" w:themeTint="BF"/>
                <w:sz w:val="20"/>
                <w:szCs w:val="20"/>
              </w:rPr>
              <w:t xml:space="preserve"> </w:t>
            </w:r>
            <w:r w:rsidRPr="00D90DD4">
              <w:rPr>
                <w:i/>
                <w:color w:val="767171" w:themeColor="background2" w:themeShade="80"/>
                <w:sz w:val="20"/>
                <w:szCs w:val="20"/>
              </w:rPr>
              <w:t xml:space="preserve">D'Andrea AD, DNA Repair (Amst). 2018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0">
              <w:r>
                <w:rPr>
                  <w:sz w:val="20"/>
                  <w:rStyle w:val="Hyperlink"/>
                </w:rPr>
                <w:t xml:space="preserve">31538027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A Novel Therapy for Metastatic Breast Cancer in Patients With a BRCA1/2 Mutation.</w:t>
            </w:r>
            <w:r>
              <w:rPr>
                <w:color w:val="404040" w:themeColor="text1" w:themeTint="BF"/>
                <w:sz w:val="20"/>
                <w:szCs w:val="20"/>
              </w:rPr>
              <w:t xml:space="preserve"> </w:t>
            </w:r>
            <w:r w:rsidRPr="00D90DD4">
              <w:rPr>
                <w:i/>
                <w:color w:val="767171" w:themeColor="background2" w:themeShade="80"/>
                <w:sz w:val="20"/>
                <w:szCs w:val="20"/>
              </w:rPr>
              <w:t xml:space="preserve">Caulfield SE et al., J Adv Pract Oncol. 2019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1">
              <w:r>
                <w:rPr>
                  <w:sz w:val="20"/>
                  <w:rStyle w:val="Hyperlink"/>
                </w:rPr>
                <w:t xml:space="preserve">34552338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Utility of Olaparib in the Treatment of Metastatic Castration-Resistant Prostate Cancer: A Review of Current Evidence and Patient Selection.</w:t>
            </w:r>
            <w:r>
              <w:rPr>
                <w:color w:val="404040" w:themeColor="text1" w:themeTint="BF"/>
                <w:sz w:val="20"/>
                <w:szCs w:val="20"/>
              </w:rPr>
              <w:t xml:space="preserve"> </w:t>
            </w:r>
            <w:r w:rsidRPr="00D90DD4">
              <w:rPr>
                <w:i/>
                <w:color w:val="767171" w:themeColor="background2" w:themeShade="80"/>
                <w:sz w:val="20"/>
                <w:szCs w:val="20"/>
              </w:rPr>
              <w:t xml:space="preserve">LeVee A et al., Onco Targets Ther.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2">
              <w:r>
                <w:rPr>
                  <w:sz w:val="20"/>
                  <w:rStyle w:val="Hyperlink"/>
                </w:rPr>
                <w:t xml:space="preserve">33017510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Olaparib Monotherapy or in Combination with Bevacizumab for the Maintenance Treatment of Patients with Advanced Ovarian Cancer.</w:t>
            </w:r>
            <w:r>
              <w:rPr>
                <w:color w:val="404040" w:themeColor="text1" w:themeTint="BF"/>
                <w:sz w:val="20"/>
                <w:szCs w:val="20"/>
              </w:rPr>
              <w:t xml:space="preserve"> </w:t>
            </w:r>
            <w:r w:rsidRPr="00D90DD4">
              <w:rPr>
                <w:i/>
                <w:color w:val="767171" w:themeColor="background2" w:themeShade="80"/>
                <w:sz w:val="20"/>
                <w:szCs w:val="20"/>
              </w:rPr>
              <w:t xml:space="preserve">Arora S et al., Oncologist. 2021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3">
              <w:r>
                <w:rPr>
                  <w:sz w:val="20"/>
                  <w:rStyle w:val="Hyperlink"/>
                </w:rPr>
                <w:t xml:space="preserve">34081848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Adjuvant Olaparib for Patients with BRCA1- or-Mutated Breast Cancer.</w:t>
            </w:r>
            <w:r>
              <w:rPr>
                <w:color w:val="404040" w:themeColor="text1" w:themeTint="BF"/>
                <w:sz w:val="20"/>
                <w:szCs w:val="20"/>
              </w:rPr>
              <w:t xml:space="preserve"> </w:t>
            </w:r>
            <w:r w:rsidRPr="00D90DD4">
              <w:rPr>
                <w:i/>
                <w:color w:val="767171" w:themeColor="background2" w:themeShade="80"/>
                <w:sz w:val="20"/>
                <w:szCs w:val="20"/>
              </w:rPr>
              <w:t xml:space="preserve">Tutt ANJ et al., N Engl J Med. 2021 06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4">
              <w:r>
                <w:rPr>
                  <w:sz w:val="20"/>
                  <w:rStyle w:val="Hyperlink"/>
                </w:rPr>
                <w:t xml:space="preserve">32343890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for Metastatic Castration-Resistant Prostate Cancer.</w:t>
            </w:r>
            <w:r>
              <w:rPr>
                <w:color w:val="404040" w:themeColor="text1" w:themeTint="BF"/>
                <w:sz w:val="20"/>
                <w:szCs w:val="20"/>
              </w:rPr>
              <w:t xml:space="preserve"> </w:t>
            </w:r>
            <w:r w:rsidRPr="00D90DD4">
              <w:rPr>
                <w:i/>
                <w:color w:val="767171" w:themeColor="background2" w:themeShade="80"/>
                <w:sz w:val="20"/>
                <w:szCs w:val="20"/>
              </w:rPr>
              <w:t xml:space="preserve">de Bono J et al., N Engl J Med. 2020 05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5">
              <w:r>
                <w:rPr>
                  <w:sz w:val="20"/>
                  <w:rStyle w:val="Hyperlink"/>
                </w:rPr>
                <w:t xml:space="preserve">31851799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plus Bevacizumab as First-Line Maintenance in Ovarian Cancer.</w:t>
            </w:r>
            <w:r>
              <w:rPr>
                <w:color w:val="404040" w:themeColor="text1" w:themeTint="BF"/>
                <w:sz w:val="20"/>
                <w:szCs w:val="20"/>
              </w:rPr>
              <w:t xml:space="preserve"> </w:t>
            </w:r>
            <w:r w:rsidRPr="00D90DD4">
              <w:rPr>
                <w:i/>
                <w:color w:val="767171" w:themeColor="background2" w:themeShade="80"/>
                <w:sz w:val="20"/>
                <w:szCs w:val="20"/>
              </w:rPr>
              <w:t xml:space="preserve">Ray-Coquard I et al., N Engl J Med. 2019 12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6">
              <w:r>
                <w:rPr>
                  <w:sz w:val="20"/>
                  <w:rStyle w:val="Hyperlink"/>
                </w:rPr>
                <w:t xml:space="preserve">25761096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A Poly(ADP-ribose) Polymerase (PARP) Inhibitor for the Treatment of Tumors with Defective Homologous Recombination.</w:t>
            </w:r>
            <w:r>
              <w:rPr>
                <w:color w:val="404040" w:themeColor="text1" w:themeTint="BF"/>
                <w:sz w:val="20"/>
                <w:szCs w:val="20"/>
              </w:rPr>
              <w:t xml:space="preserve"> </w:t>
            </w:r>
            <w:r w:rsidRPr="00D90DD4">
              <w:rPr>
                <w:i/>
                <w:color w:val="767171" w:themeColor="background2" w:themeShade="80"/>
                <w:sz w:val="20"/>
                <w:szCs w:val="20"/>
              </w:rPr>
              <w:t xml:space="preserve">Jones P et al., J Med Chem. 2015 Apr 23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7">
              <w:r>
                <w:rPr>
                  <w:sz w:val="20"/>
                  <w:rStyle w:val="Hyperlink"/>
                </w:rPr>
                <w:t xml:space="preserve">28474297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First Global Approval.</w:t>
            </w:r>
            <w:r>
              <w:rPr>
                <w:color w:val="404040" w:themeColor="text1" w:themeTint="BF"/>
                <w:sz w:val="20"/>
                <w:szCs w:val="20"/>
              </w:rPr>
              <w:t xml:space="preserve"> </w:t>
            </w:r>
            <w:r w:rsidRPr="00D90DD4">
              <w:rPr>
                <w:i/>
                <w:color w:val="767171" w:themeColor="background2" w:themeShade="80"/>
                <w:sz w:val="20"/>
                <w:szCs w:val="20"/>
              </w:rPr>
              <w:t xml:space="preserve">Scott LJ, Drugs. 2017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8">
              <w:r>
                <w:rPr>
                  <w:sz w:val="20"/>
                  <w:rStyle w:val="Hyperlink"/>
                </w:rPr>
                <w:t xml:space="preserve">32172572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for the Treatment of Recurrent Epithelial Ovarian, Fallopian Tube, or Primary Peritoneal Cancer.</w:t>
            </w:r>
            <w:r>
              <w:rPr>
                <w:color w:val="404040" w:themeColor="text1" w:themeTint="BF"/>
                <w:sz w:val="20"/>
                <w:szCs w:val="20"/>
              </w:rPr>
              <w:t xml:space="preserve"> </w:t>
            </w:r>
            <w:r w:rsidRPr="00D90DD4">
              <w:rPr>
                <w:i/>
                <w:color w:val="767171" w:themeColor="background2" w:themeShade="80"/>
                <w:sz w:val="20"/>
                <w:szCs w:val="20"/>
              </w:rPr>
              <w:t xml:space="preserve">Kerliu L et al., Ann Pharmacother. 2020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9">
              <w:r>
                <w:rPr>
                  <w:sz w:val="20"/>
                  <w:rStyle w:val="Hyperlink"/>
                </w:rPr>
                <w:t xml:space="preserve">34363200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 In-Depth Review of Niraparib in Ovarian Cancer: Mechanism of Action, Clinical Efficacy and Future Directions.</w:t>
            </w:r>
            <w:r>
              <w:rPr>
                <w:color w:val="404040" w:themeColor="text1" w:themeTint="BF"/>
                <w:sz w:val="20"/>
                <w:szCs w:val="20"/>
              </w:rPr>
              <w:t xml:space="preserve"> </w:t>
            </w:r>
            <w:r w:rsidRPr="00D90DD4">
              <w:rPr>
                <w:i/>
                <w:color w:val="767171" w:themeColor="background2" w:themeShade="80"/>
                <w:sz w:val="20"/>
                <w:szCs w:val="20"/>
              </w:rPr>
              <w:t xml:space="preserve">Akay M et al., Oncol Ther. 2021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0">
              <w:r>
                <w:rPr>
                  <w:sz w:val="20"/>
                  <w:rStyle w:val="Hyperlink"/>
                </w:rPr>
                <w:t xml:space="preserve">27717299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Maintenance Therapy in Platinum-Sensitive, Recurrent Ovarian Cancer.</w:t>
            </w:r>
            <w:r>
              <w:rPr>
                <w:color w:val="404040" w:themeColor="text1" w:themeTint="BF"/>
                <w:sz w:val="20"/>
                <w:szCs w:val="20"/>
              </w:rPr>
              <w:t xml:space="preserve"> </w:t>
            </w:r>
            <w:r w:rsidRPr="00D90DD4">
              <w:rPr>
                <w:i/>
                <w:color w:val="767171" w:themeColor="background2" w:themeShade="80"/>
                <w:sz w:val="20"/>
                <w:szCs w:val="20"/>
              </w:rPr>
              <w:t xml:space="preserve">Mirza MR et al., N Engl J Med. 2016 12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1">
              <w:r>
                <w:rPr>
                  <w:sz w:val="20"/>
                  <w:rStyle w:val="Hyperlink"/>
                </w:rPr>
                <w:t xml:space="preserve">30948273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monotherapy for late-line treatment of ovarian cancer (QUADRA): a multicentre, open-label, single-arm, phase 2 trial.</w:t>
            </w:r>
            <w:r>
              <w:rPr>
                <w:color w:val="404040" w:themeColor="text1" w:themeTint="BF"/>
                <w:sz w:val="20"/>
                <w:szCs w:val="20"/>
              </w:rPr>
              <w:t xml:space="preserve"> </w:t>
            </w:r>
            <w:r w:rsidRPr="00D90DD4">
              <w:rPr>
                <w:i/>
                <w:color w:val="767171" w:themeColor="background2" w:themeShade="80"/>
                <w:sz w:val="20"/>
                <w:szCs w:val="20"/>
              </w:rPr>
              <w:t xml:space="preserve">Moore KN et al., Lancet Oncol. 2019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2">
              <w:r>
                <w:rPr>
                  <w:sz w:val="20"/>
                  <w:rStyle w:val="Hyperlink"/>
                </w:rPr>
                <w:t xml:space="preserve">27002934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2 multicentre trial investigating intermittent and continuous dosing schedules of the poly(ADP-ribose) polymerase inhibitor rucaparib in germline BRCA mutation carriers with advanced ovarian and breast cancer.</w:t>
            </w:r>
            <w:r>
              <w:rPr>
                <w:color w:val="404040" w:themeColor="text1" w:themeTint="BF"/>
                <w:sz w:val="20"/>
                <w:szCs w:val="20"/>
              </w:rPr>
              <w:t xml:space="preserve"> </w:t>
            </w:r>
            <w:r w:rsidRPr="00D90DD4">
              <w:rPr>
                <w:i/>
                <w:color w:val="767171" w:themeColor="background2" w:themeShade="80"/>
                <w:sz w:val="20"/>
                <w:szCs w:val="20"/>
              </w:rPr>
              <w:t xml:space="preserve">Drew Y et al., Br J Cancer. 2016 Mar 29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3">
              <w:r>
                <w:rPr>
                  <w:sz w:val="20"/>
                  <w:rStyle w:val="Hyperlink"/>
                </w:rPr>
                <w:t xml:space="preserve">34518297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Synthetic Lethality in Ovarian Cancer.</w:t>
            </w:r>
            <w:r>
              <w:rPr>
                <w:color w:val="404040" w:themeColor="text1" w:themeTint="BF"/>
                <w:sz w:val="20"/>
                <w:szCs w:val="20"/>
              </w:rPr>
              <w:t xml:space="preserve"> </w:t>
            </w:r>
            <w:r w:rsidRPr="00D90DD4">
              <w:rPr>
                <w:i/>
                <w:color w:val="767171" w:themeColor="background2" w:themeShade="80"/>
                <w:sz w:val="20"/>
                <w:szCs w:val="20"/>
              </w:rPr>
              <w:t xml:space="preserve">Chandrasekaran A et al., Mol Cancer Ther. 2021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4">
              <w:r>
                <w:rPr>
                  <w:sz w:val="20"/>
                  <w:rStyle w:val="Hyperlink"/>
                </w:rPr>
                <w:t xml:space="preserve">32086346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Non-BRCA DNA Damage Repair Gene Alterations and Response to the PARP Inhibitor Rucaparib in Metastatic Castration-Resistant Prostate Cancer: Analysis From the Phase II TRITON2 Study.</w:t>
            </w:r>
            <w:r>
              <w:rPr>
                <w:color w:val="404040" w:themeColor="text1" w:themeTint="BF"/>
                <w:sz w:val="20"/>
                <w:szCs w:val="20"/>
              </w:rPr>
              <w:t xml:space="preserve"> </w:t>
            </w:r>
            <w:r w:rsidRPr="00D90DD4">
              <w:rPr>
                <w:i/>
                <w:color w:val="767171" w:themeColor="background2" w:themeShade="80"/>
                <w:sz w:val="20"/>
                <w:szCs w:val="20"/>
              </w:rPr>
              <w:t xml:space="preserve">Abida W et al., Clin Cancer Res. 2020 06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5">
              <w:r>
                <w:rPr>
                  <w:sz w:val="20"/>
                  <w:rStyle w:val="Hyperlink"/>
                </w:rPr>
                <w:t xml:space="preserve">28916367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Rucaparib maintenance treatment for recurrent ovarian carcinoma after response to platinum therapy (ARIEL3): a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Coleman RL et al., Lancet. 2017 Oct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6">
              <w:r>
                <w:rPr>
                  <w:sz w:val="20"/>
                  <w:rStyle w:val="Hyperlink"/>
                </w:rPr>
                <w:t xml:space="preserve">32359490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Rucaparib for patients with platinum-sensitive, recurrent ovarian carcinoma (ARIEL3): post-progression outcomes and updated safety results from a randomised,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Ledermann JA et al., Lancet Oncol. 2020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7">
              <w:r>
                <w:rPr>
                  <w:sz w:val="20"/>
                  <w:rStyle w:val="Hyperlink"/>
                </w:rPr>
                <w:t xml:space="preserve">32795228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Rucaparib in Men With Metastatic Castration-Resistant Prostate Cancer Harboring aorGene Alteration.</w:t>
            </w:r>
            <w:r>
              <w:rPr>
                <w:color w:val="404040" w:themeColor="text1" w:themeTint="BF"/>
                <w:sz w:val="20"/>
                <w:szCs w:val="20"/>
              </w:rPr>
              <w:t xml:space="preserve"> </w:t>
            </w:r>
            <w:r w:rsidRPr="00D90DD4">
              <w:rPr>
                <w:i/>
                <w:color w:val="767171" w:themeColor="background2" w:themeShade="80"/>
                <w:sz w:val="20"/>
                <w:szCs w:val="20"/>
              </w:rPr>
              <w:t xml:space="preserve">Abida W et al., J Clin Oncol. 2020 11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8">
              <w:r>
                <w:rPr>
                  <w:sz w:val="20"/>
                  <w:rStyle w:val="Hyperlink"/>
                </w:rPr>
                <w:t xml:space="preserve">27614696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 vivo anti-tumor activity of the PARP inhibitor niraparib in homologous recombination deficient and proficient ovarian carcinoma.</w:t>
            </w:r>
            <w:r>
              <w:rPr>
                <w:color w:val="404040" w:themeColor="text1" w:themeTint="BF"/>
                <w:sz w:val="20"/>
                <w:szCs w:val="20"/>
              </w:rPr>
              <w:t xml:space="preserve"> </w:t>
            </w:r>
            <w:r w:rsidRPr="00D90DD4">
              <w:rPr>
                <w:i/>
                <w:color w:val="767171" w:themeColor="background2" w:themeShade="80"/>
                <w:sz w:val="20"/>
                <w:szCs w:val="20"/>
              </w:rPr>
              <w:t xml:space="preserve">AlHilli MM et al., Gynecol Oncol. 2016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9">
              <w:r>
                <w:rPr>
                  <w:sz w:val="20"/>
                  <w:rStyle w:val="Hyperlink"/>
                </w:rPr>
                <w:t xml:space="preserve">32880196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in the treatment of previously treated advanced ovarian, fallopian tube or primary peritoneal cancer.</w:t>
            </w:r>
            <w:r>
              <w:rPr>
                <w:color w:val="404040" w:themeColor="text1" w:themeTint="BF"/>
                <w:sz w:val="20"/>
                <w:szCs w:val="20"/>
              </w:rPr>
              <w:t xml:space="preserve"> </w:t>
            </w:r>
            <w:r w:rsidRPr="00D90DD4">
              <w:rPr>
                <w:i/>
                <w:color w:val="767171" w:themeColor="background2" w:themeShade="80"/>
                <w:sz w:val="20"/>
                <w:szCs w:val="20"/>
              </w:rPr>
              <w:t xml:space="preserve">Rimel BJ et al., Future Oncol. 2020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0">
              <w:r>
                <w:rPr>
                  <w:sz w:val="20"/>
                  <w:rStyle w:val="Hyperlink"/>
                </w:rPr>
                <w:t xml:space="preserve">25799992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REV7 counteracts DNA double-strand break resection and affects PARP inhibition.</w:t>
            </w:r>
            <w:r>
              <w:rPr>
                <w:color w:val="404040" w:themeColor="text1" w:themeTint="BF"/>
                <w:sz w:val="20"/>
                <w:szCs w:val="20"/>
              </w:rPr>
              <w:t xml:space="preserve"> </w:t>
            </w:r>
            <w:r w:rsidRPr="00D90DD4">
              <w:rPr>
                <w:i/>
                <w:color w:val="767171" w:themeColor="background2" w:themeShade="80"/>
                <w:sz w:val="20"/>
                <w:szCs w:val="20"/>
              </w:rPr>
              <w:t xml:space="preserve">Xu G et al., Nature. 2015 May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1">
              <w:r>
                <w:rPr>
                  <w:sz w:val="20"/>
                  <w:rStyle w:val="Hyperlink"/>
                </w:rPr>
                <w:t xml:space="preserve">34316715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a-silenced high-grade serous ovarian cancer model during development of PARP inhibitor resistance.</w:t>
            </w:r>
            <w:r>
              <w:rPr>
                <w:color w:val="404040" w:themeColor="text1" w:themeTint="BF"/>
                <w:sz w:val="20"/>
                <w:szCs w:val="20"/>
              </w:rPr>
              <w:t xml:space="preserve"> </w:t>
            </w:r>
            <w:r w:rsidRPr="00D90DD4">
              <w:rPr>
                <w:i/>
                <w:color w:val="767171" w:themeColor="background2" w:themeShade="80"/>
                <w:sz w:val="20"/>
                <w:szCs w:val="20"/>
              </w:rPr>
              <w:t xml:space="preserve">Hurley RM et al., NAR Cancer. 2021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2">
              <w:r>
                <w:rPr>
                  <w:sz w:val="20"/>
                  <w:rStyle w:val="Hyperlink"/>
                </w:rPr>
                <w:t xml:space="preserve">30714316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Exploiting DNA repair defects in colorectal cancer.</w:t>
            </w:r>
            <w:r>
              <w:rPr>
                <w:color w:val="404040" w:themeColor="text1" w:themeTint="BF"/>
                <w:sz w:val="20"/>
                <w:szCs w:val="20"/>
              </w:rPr>
              <w:t xml:space="preserve"> </w:t>
            </w:r>
            <w:r w:rsidRPr="00D90DD4">
              <w:rPr>
                <w:i/>
                <w:color w:val="767171" w:themeColor="background2" w:themeShade="80"/>
                <w:sz w:val="20"/>
                <w:szCs w:val="20"/>
              </w:rPr>
              <w:t xml:space="preserve">Reilly NM et al., Mol Oncol. 2019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3">
              <w:r>
                <w:rPr>
                  <w:sz w:val="20"/>
                  <w:rStyle w:val="Hyperlink"/>
                </w:rPr>
                <w:t xml:space="preserve">29660759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 inhibitors in breast cancer: Bringing synthetic lethality to the bedside.</w:t>
            </w:r>
            <w:r>
              <w:rPr>
                <w:color w:val="404040" w:themeColor="text1" w:themeTint="BF"/>
                <w:sz w:val="20"/>
                <w:szCs w:val="20"/>
              </w:rPr>
              <w:t xml:space="preserve"> </w:t>
            </w:r>
            <w:r w:rsidRPr="00D90DD4">
              <w:rPr>
                <w:i/>
                <w:color w:val="767171" w:themeColor="background2" w:themeShade="80"/>
                <w:sz w:val="20"/>
                <w:szCs w:val="20"/>
              </w:rPr>
              <w:t xml:space="preserve">Turk AA et al., Cancer. 2018 06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4">
              <w:r>
                <w:rPr>
                  <w:sz w:val="20"/>
                  <w:rStyle w:val="Hyperlink"/>
                </w:rPr>
                <w:t xml:space="preserve">32122376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 inhibitors in pancreatic cancer: molecular mechanisms and clinical applications.</w:t>
            </w:r>
            <w:r>
              <w:rPr>
                <w:color w:val="404040" w:themeColor="text1" w:themeTint="BF"/>
                <w:sz w:val="20"/>
                <w:szCs w:val="20"/>
              </w:rPr>
              <w:t xml:space="preserve"> </w:t>
            </w:r>
            <w:r w:rsidRPr="00D90DD4">
              <w:rPr>
                <w:i/>
                <w:color w:val="767171" w:themeColor="background2" w:themeShade="80"/>
                <w:sz w:val="20"/>
                <w:szCs w:val="20"/>
              </w:rPr>
              <w:t xml:space="preserve">Zhu H et al., Mol Cancer. 2020 03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5">
              <w:r>
                <w:rPr>
                  <w:sz w:val="20"/>
                  <w:rStyle w:val="Hyperlink"/>
                </w:rPr>
                <w:t xml:space="preserve">32289275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Response and Resistance to BCR-ABL1-Targeted Therapies.</w:t>
            </w:r>
            <w:r>
              <w:rPr>
                <w:color w:val="404040" w:themeColor="text1" w:themeTint="BF"/>
                <w:sz w:val="20"/>
                <w:szCs w:val="20"/>
              </w:rPr>
              <w:t xml:space="preserve"> </w:t>
            </w:r>
            <w:r w:rsidRPr="00D90DD4">
              <w:rPr>
                <w:i/>
                <w:color w:val="767171" w:themeColor="background2" w:themeShade="80"/>
                <w:sz w:val="20"/>
                <w:szCs w:val="20"/>
              </w:rPr>
              <w:t xml:space="preserve">Braun TP et al., Cancer Cell. 2020 04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6">
              <w:r>
                <w:rPr>
                  <w:sz w:val="20"/>
                  <w:rStyle w:val="Hyperlink"/>
                </w:rPr>
                <w:t xml:space="preserve">34407542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3, open-label, randomized study of asciminib, a STAMP inhibitor, vs bosutinib in CML after 2 or more prior TKIs.</w:t>
            </w:r>
            <w:r>
              <w:rPr>
                <w:color w:val="404040" w:themeColor="text1" w:themeTint="BF"/>
                <w:sz w:val="20"/>
                <w:szCs w:val="20"/>
              </w:rPr>
              <w:t xml:space="preserve"> </w:t>
            </w:r>
            <w:r w:rsidRPr="00D90DD4">
              <w:rPr>
                <w:i/>
                <w:color w:val="767171" w:themeColor="background2" w:themeShade="80"/>
                <w:sz w:val="20"/>
                <w:szCs w:val="20"/>
              </w:rPr>
              <w:t xml:space="preserve">Réa D et al., Blood. 2021 11 25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7">
              <w:r>
                <w:rPr>
                  <w:sz w:val="20"/>
                  <w:rStyle w:val="Hyperlink"/>
                </w:rPr>
                <w:t xml:space="preserve">28329763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allosteric inhibitor ABL001 enables dual targeting of BCR-ABL1.</w:t>
            </w:r>
            <w:r>
              <w:rPr>
                <w:color w:val="404040" w:themeColor="text1" w:themeTint="BF"/>
                <w:sz w:val="20"/>
                <w:szCs w:val="20"/>
              </w:rPr>
              <w:t xml:space="preserve"> </w:t>
            </w:r>
            <w:r w:rsidRPr="00D90DD4">
              <w:rPr>
                <w:i/>
                <w:color w:val="767171" w:themeColor="background2" w:themeShade="80"/>
                <w:sz w:val="20"/>
                <w:szCs w:val="20"/>
              </w:rPr>
              <w:t xml:space="preserve">Wylie AA et al., Nature. 2017 03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8">
              <w:r>
                <w:rPr>
                  <w:sz w:val="20"/>
                  <w:rStyle w:val="Hyperlink"/>
                </w:rPr>
                <w:t xml:space="preserve">28819281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resistance to the BCR-ABL1 allosteric inhibitor asciminib.</w:t>
            </w:r>
            <w:r>
              <w:rPr>
                <w:color w:val="404040" w:themeColor="text1" w:themeTint="BF"/>
                <w:sz w:val="20"/>
                <w:szCs w:val="20"/>
              </w:rPr>
              <w:t xml:space="preserve"> </w:t>
            </w:r>
            <w:r w:rsidRPr="00D90DD4">
              <w:rPr>
                <w:i/>
                <w:color w:val="767171" w:themeColor="background2" w:themeShade="80"/>
                <w:sz w:val="20"/>
                <w:szCs w:val="20"/>
              </w:rPr>
              <w:t xml:space="preserve">Qiang W et al., Leukemia. 2017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9">
              <w:r>
                <w:rPr>
                  <w:sz w:val="20"/>
                  <w:rStyle w:val="Hyperlink"/>
                </w:rPr>
                <w:t xml:space="preserve">31543464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Combining the Allosteric Inhibitor Asciminib with Ponatinib Suppresses Emergence of and Restores Efficacy against Highly Resistant BCR-ABL1 Mutants.</w:t>
            </w:r>
            <w:r>
              <w:rPr>
                <w:color w:val="404040" w:themeColor="text1" w:themeTint="BF"/>
                <w:sz w:val="20"/>
                <w:szCs w:val="20"/>
              </w:rPr>
              <w:t xml:space="preserve"> </w:t>
            </w:r>
            <w:r w:rsidRPr="00D90DD4">
              <w:rPr>
                <w:i/>
                <w:color w:val="767171" w:themeColor="background2" w:themeShade="80"/>
                <w:sz w:val="20"/>
                <w:szCs w:val="20"/>
              </w:rPr>
              <w:t xml:space="preserve">Eide CA et al., Cancer Cell. 2019 10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0">
              <w:r>
                <w:rPr>
                  <w:sz w:val="20"/>
                  <w:rStyle w:val="Hyperlink"/>
                </w:rPr>
                <w:t xml:space="preserve">24420842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Bosutinib: a review of its use in patients with Philadelphia chromosome-positive chronic myelogenous leukemia.</w:t>
            </w:r>
            <w:r>
              <w:rPr>
                <w:color w:val="404040" w:themeColor="text1" w:themeTint="BF"/>
                <w:sz w:val="20"/>
                <w:szCs w:val="20"/>
              </w:rPr>
              <w:t xml:space="preserve"> </w:t>
            </w:r>
            <w:r w:rsidRPr="00D90DD4">
              <w:rPr>
                <w:i/>
                <w:color w:val="767171" w:themeColor="background2" w:themeShade="80"/>
                <w:sz w:val="20"/>
                <w:szCs w:val="20"/>
              </w:rPr>
              <w:t xml:space="preserve">Syed YY et al., BioDrugs. 2014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1">
              <w:r>
                <w:rPr>
                  <w:sz w:val="20"/>
                  <w:rStyle w:val="Hyperlink"/>
                </w:rPr>
                <w:t xml:space="preserve">31833784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bosutinib in the treatment of chronic myeloid leukemia.</w:t>
            </w:r>
            <w:r>
              <w:rPr>
                <w:color w:val="404040" w:themeColor="text1" w:themeTint="BF"/>
                <w:sz w:val="20"/>
                <w:szCs w:val="20"/>
              </w:rPr>
              <w:t xml:space="preserve"> </w:t>
            </w:r>
            <w:r w:rsidRPr="00D90DD4">
              <w:rPr>
                <w:i/>
                <w:color w:val="767171" w:themeColor="background2" w:themeShade="80"/>
                <w:sz w:val="20"/>
                <w:szCs w:val="20"/>
              </w:rPr>
              <w:t xml:space="preserve">Gambacorti-Passerini C et al., Future Oncol. 2020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2">
              <w:r>
                <w:rPr>
                  <w:sz w:val="20"/>
                  <w:rStyle w:val="Hyperlink"/>
                </w:rPr>
                <w:t xml:space="preserve">28032244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Dasatinib: A Review in Chronic Myeloid Leukaemia and Ph+ Acute Lymphoblastic Leukaemia.</w:t>
            </w:r>
            <w:r>
              <w:rPr>
                <w:color w:val="404040" w:themeColor="text1" w:themeTint="BF"/>
                <w:sz w:val="20"/>
                <w:szCs w:val="20"/>
              </w:rPr>
              <w:t xml:space="preserve"> </w:t>
            </w:r>
            <w:r w:rsidRPr="00D90DD4">
              <w:rPr>
                <w:i/>
                <w:color w:val="767171" w:themeColor="background2" w:themeShade="80"/>
                <w:sz w:val="20"/>
                <w:szCs w:val="20"/>
              </w:rPr>
              <w:t xml:space="preserve">Keating GM, Drugs. 2017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3">
              <w:r>
                <w:rPr>
                  <w:sz w:val="20"/>
                  <w:rStyle w:val="Hyperlink"/>
                </w:rPr>
                <w:t xml:space="preserve">31612105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BCR-ABL Independent Mechanisms of Resistance in Chronic Myeloid Leukemia.</w:t>
            </w:r>
            <w:r>
              <w:rPr>
                <w:color w:val="404040" w:themeColor="text1" w:themeTint="BF"/>
                <w:sz w:val="20"/>
                <w:szCs w:val="20"/>
              </w:rPr>
              <w:t xml:space="preserve"> </w:t>
            </w:r>
            <w:r w:rsidRPr="00D90DD4">
              <w:rPr>
                <w:i/>
                <w:color w:val="767171" w:themeColor="background2" w:themeShade="80"/>
                <w:sz w:val="20"/>
                <w:szCs w:val="20"/>
              </w:rPr>
              <w:t xml:space="preserve">Loscocco F et al., Front Oncol.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4">
              <w:r>
                <w:rPr>
                  <w:sz w:val="20"/>
                  <w:rStyle w:val="Hyperlink"/>
                </w:rPr>
                <w:t xml:space="preserve">34002056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Kinase drug discovery 20 years after imatinib: progress and future directions.</w:t>
            </w:r>
            <w:r>
              <w:rPr>
                <w:color w:val="404040" w:themeColor="text1" w:themeTint="BF"/>
                <w:sz w:val="20"/>
                <w:szCs w:val="20"/>
              </w:rPr>
              <w:t xml:space="preserve"> </w:t>
            </w:r>
            <w:r w:rsidRPr="00D90DD4">
              <w:rPr>
                <w:i/>
                <w:color w:val="767171" w:themeColor="background2" w:themeShade="80"/>
                <w:sz w:val="20"/>
                <w:szCs w:val="20"/>
              </w:rPr>
              <w:t xml:space="preserve">Cohen P et al., Nat Rev Drug Discov.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5">
              <w:r>
                <w:rPr>
                  <w:sz w:val="20"/>
                  <w:rStyle w:val="Hyperlink"/>
                </w:rPr>
                <w:t xml:space="preserve">34322383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Early and Next-Generation KIT/PDGFRA Kinase Inhibitors and the Future of Treatment for Advanced Gastrointestinal Stromal Tumor.</w:t>
            </w:r>
            <w:r>
              <w:rPr>
                <w:color w:val="404040" w:themeColor="text1" w:themeTint="BF"/>
                <w:sz w:val="20"/>
                <w:szCs w:val="20"/>
              </w:rPr>
              <w:t xml:space="preserve"> </w:t>
            </w:r>
            <w:r w:rsidRPr="00D90DD4">
              <w:rPr>
                <w:i/>
                <w:color w:val="767171" w:themeColor="background2" w:themeShade="80"/>
                <w:sz w:val="20"/>
                <w:szCs w:val="20"/>
              </w:rPr>
              <w:t xml:space="preserve">Bauer S et al., Front Oncol.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6">
              <w:r>
                <w:rPr>
                  <w:sz w:val="20"/>
                  <w:rStyle w:val="Hyperlink"/>
                </w:rPr>
                <w:t xml:space="preserve">22207690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Chronic phase chronic myeloid leukemia patients with low OCT-1 activity randomized to high-dose imatinib achieve better responses and have lower failure rates than those randomized to standard-dose imatinib.</w:t>
            </w:r>
            <w:r>
              <w:rPr>
                <w:color w:val="404040" w:themeColor="text1" w:themeTint="BF"/>
                <w:sz w:val="20"/>
                <w:szCs w:val="20"/>
              </w:rPr>
              <w:t xml:space="preserve"> </w:t>
            </w:r>
            <w:r w:rsidRPr="00D90DD4">
              <w:rPr>
                <w:i/>
                <w:color w:val="767171" w:themeColor="background2" w:themeShade="80"/>
                <w:sz w:val="20"/>
                <w:szCs w:val="20"/>
              </w:rPr>
              <w:t xml:space="preserve">White DL et al., Haematologica. 2012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7">
              <w:r>
                <w:rPr>
                  <w:sz w:val="20"/>
                  <w:rStyle w:val="Hyperlink"/>
                </w:rPr>
                <w:t xml:space="preserve">23610618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Management of imatinib-resistant patients with chronic myeloid leukemia.</w:t>
            </w:r>
            <w:r>
              <w:rPr>
                <w:color w:val="404040" w:themeColor="text1" w:themeTint="BF"/>
                <w:sz w:val="20"/>
                <w:szCs w:val="20"/>
              </w:rPr>
              <w:t xml:space="preserve"> </w:t>
            </w:r>
            <w:r w:rsidRPr="00D90DD4">
              <w:rPr>
                <w:i/>
                <w:color w:val="767171" w:themeColor="background2" w:themeShade="80"/>
                <w:sz w:val="20"/>
                <w:szCs w:val="20"/>
              </w:rPr>
              <w:t xml:space="preserve">Bhamidipati PK et al., Ther Adv Hematol. 2013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8">
              <w:r>
                <w:rPr>
                  <w:sz w:val="20"/>
                  <w:rStyle w:val="Hyperlink"/>
                </w:rPr>
                <w:t xml:space="preserve">22942908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Current and emerging strategies for the management of imatinib-refractory advanced gastrointestinal stromal tumors.</w:t>
            </w:r>
            <w:r>
              <w:rPr>
                <w:color w:val="404040" w:themeColor="text1" w:themeTint="BF"/>
                <w:sz w:val="20"/>
                <w:szCs w:val="20"/>
              </w:rPr>
              <w:t xml:space="preserve"> </w:t>
            </w:r>
            <w:r w:rsidRPr="00D90DD4">
              <w:rPr>
                <w:i/>
                <w:color w:val="767171" w:themeColor="background2" w:themeShade="80"/>
                <w:sz w:val="20"/>
                <w:szCs w:val="20"/>
              </w:rPr>
              <w:t xml:space="preserve">Kee D et al., Ther Adv Med Oncol. 2012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9">
              <w:r>
                <w:rPr>
                  <w:sz w:val="20"/>
                  <w:rStyle w:val="Hyperlink"/>
                </w:rPr>
                <w:t xml:space="preserve">16721371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AMN107 (nilotinib): a novel and selective inhibitor of BCR-ABL.</w:t>
            </w:r>
            <w:r>
              <w:rPr>
                <w:color w:val="404040" w:themeColor="text1" w:themeTint="BF"/>
                <w:sz w:val="20"/>
                <w:szCs w:val="20"/>
              </w:rPr>
              <w:t xml:space="preserve"> </w:t>
            </w:r>
            <w:r w:rsidRPr="00D90DD4">
              <w:rPr>
                <w:i/>
                <w:color w:val="767171" w:themeColor="background2" w:themeShade="80"/>
                <w:sz w:val="20"/>
                <w:szCs w:val="20"/>
              </w:rPr>
              <w:t xml:space="preserve">Weisberg E et al., Br J Cancer. 2006 Jun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0">
              <w:r>
                <w:rPr>
                  <w:sz w:val="20"/>
                  <w:rStyle w:val="Hyperlink"/>
                </w:rPr>
                <w:t xml:space="preserve">21419934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Nilotinib: a novel, selective tyrosine kinase inhibitor.</w:t>
            </w:r>
            <w:r>
              <w:rPr>
                <w:color w:val="404040" w:themeColor="text1" w:themeTint="BF"/>
                <w:sz w:val="20"/>
                <w:szCs w:val="20"/>
              </w:rPr>
              <w:t xml:space="preserve"> </w:t>
            </w:r>
            <w:r w:rsidRPr="00D90DD4">
              <w:rPr>
                <w:i/>
                <w:color w:val="767171" w:themeColor="background2" w:themeShade="80"/>
                <w:sz w:val="20"/>
                <w:szCs w:val="20"/>
              </w:rPr>
              <w:t xml:space="preserve">Blay JY et al., Semin Oncol. 2011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1">
              <w:r>
                <w:rPr>
                  <w:sz w:val="20"/>
                  <w:rStyle w:val="Hyperlink"/>
                </w:rPr>
                <w:t xml:space="preserve">19878872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AP24534, a pan-BCR-ABL inhibitor for chronic myeloid leukemia, potently inhibits the T315I mutant and overcomes mutation-based resistance.</w:t>
            </w:r>
            <w:r>
              <w:rPr>
                <w:color w:val="404040" w:themeColor="text1" w:themeTint="BF"/>
                <w:sz w:val="20"/>
                <w:szCs w:val="20"/>
              </w:rPr>
              <w:t xml:space="preserve"> </w:t>
            </w:r>
            <w:r w:rsidRPr="00D90DD4">
              <w:rPr>
                <w:i/>
                <w:color w:val="767171" w:themeColor="background2" w:themeShade="80"/>
                <w:sz w:val="20"/>
                <w:szCs w:val="20"/>
              </w:rPr>
              <w:t xml:space="preserve">O'Hare T et al., Cancer Cell. 2009 Nov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2">
              <w:r>
                <w:rPr>
                  <w:sz w:val="20"/>
                  <w:rStyle w:val="Hyperlink"/>
                </w:rPr>
                <w:t xml:space="preserve">32145037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multi-tyrosine kinase inhibitor ponatinib for chronic myeloid leukemia: Real-world data.</w:t>
            </w:r>
            <w:r>
              <w:rPr>
                <w:color w:val="404040" w:themeColor="text1" w:themeTint="BF"/>
                <w:sz w:val="20"/>
                <w:szCs w:val="20"/>
              </w:rPr>
              <w:t xml:space="preserve"> </w:t>
            </w:r>
            <w:r w:rsidRPr="00D90DD4">
              <w:rPr>
                <w:i/>
                <w:color w:val="767171" w:themeColor="background2" w:themeShade="80"/>
                <w:sz w:val="20"/>
                <w:szCs w:val="20"/>
              </w:rPr>
              <w:t xml:space="preserve">Luciano L et al., Eur J Haematol. 2020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3">
              <w:r>
                <w:rPr>
                  <w:sz w:val="20"/>
                  <w:rStyle w:val="Hyperlink"/>
                </w:rPr>
                <w:t xml:space="preserve">29567798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Ponatinib efficacy and safety in Philadelphia chromosome-positive leukemia: final 5-year results of the phase 2 PACE trial.</w:t>
            </w:r>
            <w:r>
              <w:rPr>
                <w:color w:val="404040" w:themeColor="text1" w:themeTint="BF"/>
                <w:sz w:val="20"/>
                <w:szCs w:val="20"/>
              </w:rPr>
              <w:t xml:space="preserve"> </w:t>
            </w:r>
            <w:r w:rsidRPr="00D90DD4">
              <w:rPr>
                <w:i/>
                <w:color w:val="767171" w:themeColor="background2" w:themeShade="80"/>
                <w:sz w:val="20"/>
                <w:szCs w:val="20"/>
              </w:rPr>
              <w:t xml:space="preserve">Cortes JE et al., Blood. 2018 07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4">
              <w:r>
                <w:rPr>
                  <w:sz w:val="20"/>
                  <w:rStyle w:val="Hyperlink"/>
                </w:rPr>
                <w:t xml:space="preserve">24180494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2 trial of ponatinib in Philadelphia chromosome-positive leukemias.</w:t>
            </w:r>
            <w:r>
              <w:rPr>
                <w:color w:val="404040" w:themeColor="text1" w:themeTint="BF"/>
                <w:sz w:val="20"/>
                <w:szCs w:val="20"/>
              </w:rPr>
              <w:t xml:space="preserve"> </w:t>
            </w:r>
            <w:r w:rsidRPr="00D90DD4">
              <w:rPr>
                <w:i/>
                <w:color w:val="767171" w:themeColor="background2" w:themeShade="80"/>
                <w:sz w:val="20"/>
                <w:szCs w:val="20"/>
              </w:rPr>
              <w:t xml:space="preserve">Cortes JE et al., N Engl J Med. 2013 Nov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5">
              <w:r>
                <w:rPr>
                  <w:sz w:val="20"/>
                  <w:rStyle w:val="Hyperlink"/>
                </w:rPr>
                <w:t xml:space="preserve">28969556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Ponatinib: A Review of Efficacy and Safety.</w:t>
            </w:r>
            <w:r>
              <w:rPr>
                <w:color w:val="404040" w:themeColor="text1" w:themeTint="BF"/>
                <w:sz w:val="20"/>
                <w:szCs w:val="20"/>
              </w:rPr>
              <w:t xml:space="preserve"> </w:t>
            </w:r>
            <w:r w:rsidRPr="00D90DD4">
              <w:rPr>
                <w:i/>
                <w:color w:val="767171" w:themeColor="background2" w:themeShade="80"/>
                <w:sz w:val="20"/>
                <w:szCs w:val="20"/>
              </w:rPr>
              <w:t xml:space="preserve">Massaro F et al., Curr Cancer Drug Targets. 2018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6">
              <w:r>
                <w:rPr>
                  <w:sz w:val="20"/>
                  <w:rStyle w:val="Hyperlink"/>
                </w:rPr>
                <w:t xml:space="preserve">29411417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Chronic myeloid leukemia: 2018 update on diagnosis, therapy and monitoring.</w:t>
            </w:r>
            <w:r>
              <w:rPr>
                <w:color w:val="404040" w:themeColor="text1" w:themeTint="BF"/>
                <w:sz w:val="20"/>
                <w:szCs w:val="20"/>
              </w:rPr>
              <w:t xml:space="preserve"> </w:t>
            </w:r>
            <w:r w:rsidRPr="00D90DD4">
              <w:rPr>
                <w:i/>
                <w:color w:val="767171" w:themeColor="background2" w:themeShade="80"/>
                <w:sz w:val="20"/>
                <w:szCs w:val="20"/>
              </w:rPr>
              <w:t xml:space="preserve">Jabbour E et al., Am J Hematol. 2018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7">
              <w:r>
                <w:rPr>
                  <w:sz w:val="20"/>
                  <w:rStyle w:val="Hyperlink"/>
                </w:rPr>
                <w:t xml:space="preserve">25132497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BCR-ABL1 compound mutations combining key kinase domain positions confer clinical resistance to ponatinib in Ph chromosome-positive leukemia.</w:t>
            </w:r>
            <w:r>
              <w:rPr>
                <w:color w:val="404040" w:themeColor="text1" w:themeTint="BF"/>
                <w:sz w:val="20"/>
                <w:szCs w:val="20"/>
              </w:rPr>
              <w:t xml:space="preserve"> </w:t>
            </w:r>
            <w:r w:rsidRPr="00D90DD4">
              <w:rPr>
                <w:i/>
                <w:color w:val="767171" w:themeColor="background2" w:themeShade="80"/>
                <w:sz w:val="20"/>
                <w:szCs w:val="20"/>
              </w:rPr>
              <w:t xml:space="preserve">Zabriskie MS et al., Cancer Cell. 2014 Sep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8">
              <w:r>
                <w:rPr>
                  <w:sz w:val="20"/>
                  <w:rStyle w:val="Hyperlink"/>
                </w:rPr>
                <w:t xml:space="preserve">26603839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Compound mutations in BCR-ABL1 are not major drivers of primary or secondary resistance to ponatinib in CP-CML patients.</w:t>
            </w:r>
            <w:r>
              <w:rPr>
                <w:color w:val="404040" w:themeColor="text1" w:themeTint="BF"/>
                <w:sz w:val="20"/>
                <w:szCs w:val="20"/>
              </w:rPr>
              <w:t xml:space="preserve"> </w:t>
            </w:r>
            <w:r w:rsidRPr="00D90DD4">
              <w:rPr>
                <w:i/>
                <w:color w:val="767171" w:themeColor="background2" w:themeShade="80"/>
                <w:sz w:val="20"/>
                <w:szCs w:val="20"/>
              </w:rPr>
              <w:t xml:space="preserve">Deininger MW et al., Blood. 2016 Feb 11</w:t>
            </w:r>
            <w:r w:rsidRPr="00C239AE">
              <w:rPr>
                <w:color w:val="404040" w:themeColor="text1" w:themeTint="BF"/>
                <w:sz w:val="20"/>
                <w:szCs w:val="20"/>
              </w:rPr>
              <w:t/>
            </w:r>
          </w:p>
        </w:tc>
      </w:tr>
    </w:tbl>
    <w:p w14:paraId="2A7F558D" w14:textId="77777777" w:rsidR="00EF0A3D" w:rsidRDefault="00EF0A3D" w:rsidP="00EF0A3D">
      <w:pPr>
        <w:spacing w:before="200"/>
        <w:rPr>
          <w:b/>
          <w:bCs/>
          <w:color w:val="0D0D0D" w:themeColor="text1" w:themeTint="F2"/>
          <w:szCs w:val="20"/>
        </w:rPr>
      </w:pPr>
    </w:p>
    <w:p w14:paraId="7201CE6C" w14:textId="77777777" w:rsidR="00EF0A3D" w:rsidRPr="00F738DD" w:rsidRDefault="00EF0A3D" w:rsidP="00EF0A3D">
      <w:pPr>
        <w:spacing w:before="200"/>
        <w:rPr>
          <w:b/>
          <w:bCs/>
          <w:color w:val="0D0D0D" w:themeColor="text1" w:themeTint="F2"/>
          <w:szCs w:val="20"/>
        </w:rPr>
      </w:pPr>
      <w:r>
        <w:rPr>
          <w:b/>
          <w:bCs/>
          <w:color w:val="0D0D0D" w:themeColor="text1" w:themeTint="F2"/>
          <w:szCs w:val="20"/>
        </w:rPr>
        <w:t xml:space="preserve">INLINE REFERENCES OF CLINICAL TRIALS</w:t>
      </w:r>
    </w:p>
    <w:tbl>
      <w:tblPr>
        <w:tblStyle w:val="ListTable6Colorful-Accent3"/>
        <w:tblW w:w="10800" w:type="dxa"/>
        <w:tblLook w:val="04A0" w:firstRow="1" w:lastRow="0" w:firstColumn="1" w:lastColumn="0" w:noHBand="0" w:noVBand="1"/>
      </w:tblPr>
      <w:tblGrid>
        <w:gridCol w:w="3064"/>
        <w:gridCol w:w="7736"/>
      </w:tblGrid>
      <w:tr w:rsidR="00EF0A3D" w:rsidRPr="00D7205E" w14:paraId="4D120302" w14:textId="77777777" w:rsidTr="00545CC8">
        <w:trPr>
          <w:cnfStyle w:val="100000000000" w:firstRow="1" w:lastRow="0" w:firstColumn="0" w:lastColumn="0" w:oddVBand="0" w:evenVBand="0" w:oddHBand="0" w:evenHBand="0" w:firstRowFirstColumn="0" w:firstRowLastColumn="0" w:lastRowFirstColumn="0" w:lastRowLastColumn="0"/>
          <w:cantSplit/>
          <w:trHeight w:val="239"/>
          <w:tblHeader/>
        </w:trPr>
        <w:tc>
          <w:tcPr>
            <w:cnfStyle w:val="001000000000" w:firstRow="0" w:lastRow="0" w:firstColumn="1" w:lastColumn="0" w:oddVBand="0" w:evenVBand="0" w:oddHBand="0" w:evenHBand="0" w:firstRowFirstColumn="0" w:firstRowLastColumn="0" w:lastRowFirstColumn="0" w:lastRowLastColumn="0"/>
            <w:tcW w:w="2250" w:type="dxa"/>
            <w:vAlign w:val="bottom"/>
          </w:tcPr>
          <w:p w14:paraId="4A58FB05" w14:textId="77777777" w:rsidR="00EF0A3D" w:rsidRPr="00D7205E" w:rsidRDefault="00EF0A3D" w:rsidP="00545CC8">
            <w:pPr>
              <w:rPr>
                <w:rFonts w:cstheme="minorHAnsi"/>
                <w:color w:val="0D0D0D" w:themeColor="text1" w:themeTint="F2"/>
                <w:sz w:val="20"/>
                <w:szCs w:val="20"/>
              </w:rPr>
            </w:pPr>
            <w:r>
              <w:rPr>
                <w:rFonts w:cstheme="minorHAnsi"/>
                <w:color w:val="0D0D0D" w:themeColor="text1" w:themeTint="F2"/>
                <w:sz w:val="20"/>
                <w:szCs w:val="20"/>
              </w:rPr>
              <w:t xml:space="preserve">CLINICALTRIALS.GOV ID</w:t>
            </w:r>
          </w:p>
        </w:tc>
        <w:tc>
          <w:tcPr>
            <w:tcW w:w="8550" w:type="dxa"/>
            <w:vAlign w:val="bottom"/>
          </w:tcPr>
          <w:p w14:paraId="52A2DD56" w14:textId="77777777" w:rsidR="00EF0A3D" w:rsidRPr="00D7205E" w:rsidRDefault="00EF0A3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Citation</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9">
              <w:r>
                <w:rPr>
                  <w:sz w:val="20"/>
                  <w:rStyle w:val="Hyperlink"/>
                </w:rPr>
                <w:t xml:space="preserve">NCT04507919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Managed Access Program Cohort Treatment Plan CTMT212X2002I to Provide Access to Trametinib and Dabrafenib Combination Therapy for Patients With BRAF V600 Mutation-positive Advanced Non-Small Cell Lung Cancer</w:t>
            </w:r>
            <w:r>
              <w:rPr>
                <w:color w:val="404040" w:themeColor="text1" w:themeTint="BF"/>
                <w:sz w:val="20"/>
                <w:szCs w:val="20"/>
              </w:rPr>
              <w:t xml:space="preserve"> </w:t>
            </w:r>
            <w:r w:rsidRPr="00D90DD4">
              <w:rPr>
                <w:i/>
                <w:color w:val="767171" w:themeColor="background2" w:themeShade="80"/>
                <w:sz w:val="20"/>
                <w:szCs w:val="20"/>
              </w:rPr>
              <w:t xml:space="preserve">NA, Available started null</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0">
              <w:r>
                <w:rPr>
                  <w:sz w:val="20"/>
                  <w:rStyle w:val="Hyperlink"/>
                </w:rPr>
                <w:t xml:space="preserve">NCT03839342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Binimetinib and Encorafenib for the Treatment of Advanced Solid Tumors With Non-V600E BRAF Mutations</w:t>
            </w:r>
            <w:r>
              <w:rPr>
                <w:color w:val="404040" w:themeColor="text1" w:themeTint="BF"/>
                <w:sz w:val="20"/>
                <w:szCs w:val="20"/>
              </w:rPr>
              <w:t xml:space="preserve"> </w:t>
            </w:r>
            <w:r w:rsidRPr="00D90DD4">
              <w:rPr>
                <w:i/>
                <w:color w:val="767171" w:themeColor="background2" w:themeShade="80"/>
                <w:sz w:val="20"/>
                <w:szCs w:val="20"/>
              </w:rPr>
              <w:t xml:space="preserve">Phase 2, Recruiting started June 7, 2019</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1">
              <w:r>
                <w:rPr>
                  <w:sz w:val="20"/>
                  <w:rStyle w:val="Hyperlink"/>
                </w:rPr>
                <w:t xml:space="preserve">NCT03505710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DS-8201a in Human Epidermal Growth Factor Receptor 2 (HER2)-Expressing or -Mutated Non-Small Cell Lung Cancer</w:t>
            </w:r>
            <w:r>
              <w:rPr>
                <w:color w:val="404040" w:themeColor="text1" w:themeTint="BF"/>
                <w:sz w:val="20"/>
                <w:szCs w:val="20"/>
              </w:rPr>
              <w:t xml:space="preserve"> </w:t>
            </w:r>
            <w:r w:rsidRPr="00D90DD4">
              <w:rPr>
                <w:i/>
                <w:color w:val="767171" w:themeColor="background2" w:themeShade="80"/>
                <w:sz w:val="20"/>
                <w:szCs w:val="20"/>
              </w:rPr>
              <w:t xml:space="preserve">Phase 2, Active, not recruiting started May 21, 2018</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2">
              <w:r>
                <w:rPr>
                  <w:sz w:val="20"/>
                  <w:rStyle w:val="Hyperlink"/>
                </w:rPr>
                <w:t xml:space="preserve">NCT04644237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Deruxtecan in Participants With HER2-mutated Metastatic Non-small Cell Lung Cancer (NSCLC)</w:t>
            </w:r>
            <w:r>
              <w:rPr>
                <w:color w:val="404040" w:themeColor="text1" w:themeTint="BF"/>
                <w:sz w:val="20"/>
                <w:szCs w:val="20"/>
              </w:rPr>
              <w:t xml:space="preserve"> </w:t>
            </w:r>
            <w:r w:rsidRPr="00D90DD4">
              <w:rPr>
                <w:i/>
                <w:color w:val="767171" w:themeColor="background2" w:themeShade="80"/>
                <w:sz w:val="20"/>
                <w:szCs w:val="20"/>
              </w:rPr>
              <w:t xml:space="preserve">Phase 2, Active, not recruiting started March 19, 2021</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3">
              <w:r>
                <w:rPr>
                  <w:sz w:val="20"/>
                  <w:rStyle w:val="Hyperlink"/>
                </w:rPr>
                <w:t xml:space="preserve">NCT02675829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Trial of Ado-Trastuzumab Emtansine for Patients With HER2 Amplified or Mutant Cancers</w:t>
            </w:r>
            <w:r>
              <w:rPr>
                <w:color w:val="404040" w:themeColor="text1" w:themeTint="BF"/>
                <w:sz w:val="20"/>
                <w:szCs w:val="20"/>
              </w:rPr>
              <w:t xml:space="preserve"> </w:t>
            </w:r>
            <w:r w:rsidRPr="00D90DD4">
              <w:rPr>
                <w:i/>
                <w:color w:val="767171" w:themeColor="background2" w:themeShade="80"/>
                <w:sz w:val="20"/>
                <w:szCs w:val="20"/>
              </w:rPr>
              <w:t xml:space="preserve">Phase 2, Recruiting started February 2016</w:t>
            </w:r>
            <w:r w:rsidRPr="00C239AE">
              <w:rPr>
                <w:color w:val="404040" w:themeColor="text1" w:themeTint="BF"/>
                <w:sz w:val="20"/>
                <w:szCs w:val="20"/>
              </w:rPr>
              <w:t/>
            </w:r>
          </w:p>
        </w:tc>
      </w:tr>
    </w:tbl>
    <w:p w14:paraId="01DB3ACB" w14:textId="77777777" w:rsidR="00EF0A3D" w:rsidRPr="004474DC" w:rsidRDefault="00EF0A3D" w:rsidP="00EF0A3D">
      <w:pPr>
        <w:spacing w:before="200"/>
        <w:rPr>
          <w:color w:val="7F7F7F" w:themeColor="text1" w:themeTint="80"/>
          <w:szCs w:val="20"/>
        </w:rPr>
      </w:pPr>
      <w:r>
        <w:rPr>
          <w:color w:val="7F7F7F" w:themeColor="text1" w:themeTint="80"/>
          <w:szCs w:val="20"/>
        </w:rPr>
        <w:t/>
      </w:r>
    </w:p>
    <w:p w14:paraId="2FA2E294" w14:textId="77777777" w:rsidR="000A0E94" w:rsidRPr="0066645F" w:rsidRDefault="000A0E94" w:rsidP="000A0E94">
      <w:pPr>
        <w:pStyle w:val="Heading2"/>
        <w:spacing w:before="120"/>
        <w:rPr>
          <w:color w:val="7F7F7F" w:themeColor="text1" w:themeTint="80"/>
          <w:szCs w:val="20"/>
        </w:rPr>
      </w:pPr>
    </w:p>
    <w:p w14:paraId="29A5D451" w14:textId="77777777" w:rsidR="00E539A2" w:rsidRPr="0066645F" w:rsidRDefault="00E539A2" w:rsidP="000A0E94">
      <w:pPr>
        <w:spacing w:before="200"/>
        <w:rPr>
          <w:color w:val="7F7F7F" w:themeColor="text1" w:themeTint="80"/>
          <w:szCs w:val="20"/>
        </w:rPr>
      </w:pPr>
    </w:p>
    <w:sectPr w:rsidR="00E539A2" w:rsidRPr="0066645F" w:rsidSect="00881AC3">
      <w:headerReference w:type="default" r:id="rId9"/>
      <w:footerReference w:type="default" r:id="rId10"/>
      <w:pgSz w:w="12240" w:h="15840"/>
      <w:pgMar w:top="720" w:right="720" w:bottom="720" w:left="720" w:header="27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CBF6FF" w14:textId="77777777" w:rsidR="007102DD" w:rsidRDefault="007102DD" w:rsidP="005E10E2">
      <w:pPr>
        <w:spacing w:after="0" w:line="240" w:lineRule="auto"/>
      </w:pPr>
      <w:r>
        <w:separator/>
      </w:r>
    </w:p>
  </w:endnote>
  <w:endnote w:type="continuationSeparator" w:id="0">
    <w:p w14:paraId="20ABE891" w14:textId="77777777" w:rsidR="007102DD" w:rsidRDefault="007102DD" w:rsidP="005E10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10 Pitch">
    <w:altName w:val="Times New Roman"/>
    <w:charset w:val="01"/>
    <w:family w:val="roman"/>
    <w:pitch w:val="variable"/>
  </w:font>
  <w:font w:name="Lohit Devanagari">
    <w:altName w:val="Times New Roman"/>
    <w:panose1 w:val="00000000000000000000"/>
    <w:charset w:val="00"/>
    <w:family w:val="roman"/>
    <w:notTrueType/>
    <w:pitch w:val="default"/>
  </w:font>
  <w:font w:name="Calibri Light (Heading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single" w:sz="6" w:space="0" w:color="7F7F7F" w:themeColor="text1" w:themeTint="80"/>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0790"/>
    </w:tblGrid>
    <w:tr w:rsidR="000F7A2B" w14:paraId="26003E4F" w14:textId="77777777" w:rsidTr="00E31E5E">
      <w:tc>
        <w:tcPr>
          <w:tcW w:w="10790" w:type="dxa"/>
        </w:tcPr>
        <w:p w14:paraId="789FD01F" w14:textId="77777777" w:rsidR="000F7A2B" w:rsidRPr="00F76C62" w:rsidRDefault="000F7A2B" w:rsidP="00E31E5E">
          <w:pPr>
            <w:pStyle w:val="Footer"/>
            <w:tabs>
              <w:tab w:val="clear" w:pos="9360"/>
              <w:tab w:val="right" w:pos="10800"/>
            </w:tabs>
            <w:spacing w:before="40"/>
            <w:rPr>
              <w:sz w:val="16"/>
            </w:rPr>
          </w:pPr>
          <w:r w:rsidRPr="00F76C62">
            <w:rPr>
              <w:color w:val="767171" w:themeColor="background2" w:themeShade="80"/>
              <w:sz w:val="16"/>
            </w:rPr>
            <w:t xml:space="preserve">Signed Electronically by </w:t>
          </w:r>
          <w:r>
            <w:rPr>
              <w:color w:val="767171" w:themeColor="background2" w:themeShade="80"/>
              <w:sz w:val="16"/>
            </w:rPr>
            <w:t>DRAFT</w:t>
          </w:r>
          <w:r w:rsidRPr="00F76C62">
            <w:rPr>
              <w:color w:val="767171" w:themeColor="background2" w:themeShade="80"/>
              <w:sz w:val="16"/>
            </w:rPr>
            <w:t xml:space="preserve"> | Medical Director: </w:t>
          </w:r>
          <w:r>
            <w:rPr>
              <w:color w:val="767171" w:themeColor="background2" w:themeShade="80"/>
              <w:sz w:val="16"/>
            </w:rPr>
            <w:t>Leonard McCoy, M.D.</w:t>
          </w:r>
          <w:r w:rsidRPr="00F76C62">
            <w:rPr>
              <w:color w:val="767171" w:themeColor="background2" w:themeShade="80"/>
              <w:sz w:val="16"/>
            </w:rPr>
            <w:t xml:space="preserve"> | CLIA Number: </w:t>
          </w:r>
          <w:r>
            <w:rPr>
              <w:color w:val="767171" w:themeColor="background2" w:themeShade="80"/>
              <w:sz w:val="16"/>
            </w:rPr>
            <w:t>1234ABCD</w:t>
          </w:r>
          <w:r w:rsidRPr="00F76C62">
            <w:rPr>
              <w:color w:val="767171" w:themeColor="background2" w:themeShade="80"/>
              <w:sz w:val="16"/>
            </w:rPr>
            <w:t xml:space="preserve"> | </w:t>
          </w:r>
          <w:r>
            <w:rPr>
              <w:color w:val="767171" w:themeColor="background2" w:themeShade="80"/>
              <w:sz w:val="16"/>
            </w:rPr>
            <w:t>(Not Signed Off)</w:t>
          </w:r>
          <w:r w:rsidRPr="00F76C62">
            <w:rPr>
              <w:color w:val="808080" w:themeColor="background1" w:themeShade="80"/>
              <w:sz w:val="16"/>
            </w:rPr>
            <w:tab/>
            <w:t xml:space="preserve">page </w:t>
          </w:r>
          <w:r w:rsidRPr="00F76C62">
            <w:rPr>
              <w:b/>
              <w:bCs/>
              <w:color w:val="808080" w:themeColor="background1" w:themeShade="80"/>
              <w:sz w:val="16"/>
            </w:rPr>
            <w:fldChar w:fldCharType="begin"/>
          </w:r>
          <w:r w:rsidRPr="00F76C62">
            <w:rPr>
              <w:b/>
              <w:bCs/>
              <w:color w:val="808080" w:themeColor="background1" w:themeShade="80"/>
              <w:sz w:val="16"/>
            </w:rPr>
            <w:instrText xml:space="preserve"> PAGE  \* Arabic  \* MERGEFORMAT </w:instrText>
          </w:r>
          <w:r w:rsidRPr="00F76C62">
            <w:rPr>
              <w:b/>
              <w:bCs/>
              <w:color w:val="808080" w:themeColor="background1" w:themeShade="80"/>
              <w:sz w:val="16"/>
            </w:rPr>
            <w:fldChar w:fldCharType="separate"/>
          </w:r>
          <w:r>
            <w:rPr>
              <w:b/>
              <w:bCs/>
              <w:color w:val="808080" w:themeColor="background1" w:themeShade="80"/>
              <w:sz w:val="16"/>
            </w:rPr>
            <w:t>1</w:t>
          </w:r>
          <w:r w:rsidRPr="00F76C62">
            <w:rPr>
              <w:b/>
              <w:bCs/>
              <w:color w:val="808080" w:themeColor="background1" w:themeShade="80"/>
              <w:sz w:val="16"/>
            </w:rPr>
            <w:fldChar w:fldCharType="end"/>
          </w:r>
          <w:r w:rsidRPr="00F76C62">
            <w:rPr>
              <w:color w:val="808080" w:themeColor="background1" w:themeShade="80"/>
              <w:sz w:val="16"/>
            </w:rPr>
            <w:t xml:space="preserve"> of </w:t>
          </w:r>
          <w:r w:rsidRPr="00F76C62">
            <w:rPr>
              <w:b/>
              <w:bCs/>
              <w:color w:val="808080" w:themeColor="background1" w:themeShade="80"/>
              <w:sz w:val="16"/>
            </w:rPr>
            <w:fldChar w:fldCharType="begin"/>
          </w:r>
          <w:r w:rsidRPr="00F76C62">
            <w:rPr>
              <w:b/>
              <w:bCs/>
              <w:color w:val="808080" w:themeColor="background1" w:themeShade="80"/>
              <w:sz w:val="16"/>
            </w:rPr>
            <w:instrText xml:space="preserve"> NUMPAGES  \* Arabic  \* MERGEFORMAT </w:instrText>
          </w:r>
          <w:r w:rsidRPr="00F76C62">
            <w:rPr>
              <w:b/>
              <w:bCs/>
              <w:color w:val="808080" w:themeColor="background1" w:themeShade="80"/>
              <w:sz w:val="16"/>
            </w:rPr>
            <w:fldChar w:fldCharType="separate"/>
          </w:r>
          <w:r>
            <w:rPr>
              <w:b/>
              <w:bCs/>
              <w:color w:val="808080" w:themeColor="background1" w:themeShade="80"/>
              <w:sz w:val="16"/>
            </w:rPr>
            <w:t>3</w:t>
          </w:r>
          <w:r w:rsidRPr="00F76C62">
            <w:rPr>
              <w:b/>
              <w:bCs/>
              <w:color w:val="808080" w:themeColor="background1" w:themeShade="80"/>
              <w:sz w:val="16"/>
            </w:rPr>
            <w:fldChar w:fldCharType="end"/>
          </w:r>
        </w:p>
      </w:tc>
    </w:tr>
  </w:tbl>
  <w:p w14:paraId="726318B7" w14:textId="77777777" w:rsidR="000F7A2B" w:rsidRPr="00F76C62" w:rsidRDefault="000F7A2B" w:rsidP="00C34E4E">
    <w:pPr>
      <w:pStyle w:val="Footer"/>
      <w:tabs>
        <w:tab w:val="clear" w:pos="9360"/>
        <w:tab w:val="right" w:pos="10800"/>
      </w:tabs>
      <w:rPr>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CCBAB" w14:textId="77777777" w:rsidR="007102DD" w:rsidRDefault="007102DD" w:rsidP="005E10E2">
      <w:pPr>
        <w:spacing w:after="0" w:line="240" w:lineRule="auto"/>
      </w:pPr>
      <w:r>
        <w:separator/>
      </w:r>
    </w:p>
  </w:footnote>
  <w:footnote w:type="continuationSeparator" w:id="0">
    <w:p w14:paraId="524F657C" w14:textId="77777777" w:rsidR="007102DD" w:rsidRDefault="007102DD" w:rsidP="005E10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710" w:type="dxa"/>
      <w:tblBorders>
        <w:top w:val="none" w:sz="0" w:space="0" w:color="auto"/>
        <w:left w:val="none" w:sz="0" w:space="0" w:color="auto"/>
        <w:bottom w:val="single" w:sz="4" w:space="0" w:color="7F7F7F" w:themeColor="text1" w:themeTint="80"/>
        <w:right w:val="none" w:sz="0" w:space="0" w:color="auto"/>
        <w:insideH w:val="none" w:sz="0" w:space="0" w:color="auto"/>
        <w:insideV w:val="none" w:sz="0" w:space="0" w:color="auto"/>
      </w:tblBorders>
      <w:tblLook w:val="04A0" w:firstRow="1" w:lastRow="0" w:firstColumn="1" w:lastColumn="0" w:noHBand="0" w:noVBand="1"/>
    </w:tblPr>
    <w:tblGrid>
      <w:gridCol w:w="3548"/>
      <w:gridCol w:w="2766"/>
      <w:gridCol w:w="1707"/>
      <w:gridCol w:w="2689"/>
    </w:tblGrid>
    <w:tr w:rsidR="005A5570" w14:paraId="3420D5ED" w14:textId="77777777" w:rsidTr="00987F6E">
      <w:trPr>
        <w:trHeight w:val="1006"/>
      </w:trPr>
      <w:tc>
        <w:tcPr>
          <w:tcW w:w="3600" w:type="dxa"/>
          <w:vAlign w:val="bottom"/>
        </w:tcPr>
        <w:p w14:paraId="43472225" w14:textId="77777777" w:rsidR="005A5570" w:rsidRPr="005E10E2" w:rsidRDefault="005A5570" w:rsidP="005A5570">
          <w:pPr>
            <w:pStyle w:val="Header"/>
            <w:tabs>
              <w:tab w:val="clear" w:pos="4680"/>
              <w:tab w:val="clear" w:pos="9360"/>
            </w:tabs>
          </w:pPr>
          <w:r w:rsidRPr="00ED0026">
            <w:rPr>
              <w:noProof/>
            </w:rPr>
            <w:drawing>
              <wp:anchor distT="0" distB="45720" distL="0" distR="0" simplePos="0" relativeHeight="251660288" behindDoc="1" locked="0" layoutInCell="1" allowOverlap="1" wp14:anchorId="5FD26B98" wp14:editId="26768681">
                <wp:simplePos x="0" y="0"/>
                <wp:positionH relativeFrom="column">
                  <wp:posOffset>-14605</wp:posOffset>
                </wp:positionH>
                <wp:positionV relativeFrom="paragraph">
                  <wp:posOffset>357505</wp:posOffset>
                </wp:positionV>
                <wp:extent cx="2051050" cy="436245"/>
                <wp:effectExtent l="0" t="0" r="6350" b="1905"/>
                <wp:wrapTight wrapText="right">
                  <wp:wrapPolygon edited="0">
                    <wp:start x="4815" y="0"/>
                    <wp:lineTo x="3210" y="1886"/>
                    <wp:lineTo x="802" y="11319"/>
                    <wp:lineTo x="802" y="15092"/>
                    <wp:lineTo x="0" y="18865"/>
                    <wp:lineTo x="0" y="20751"/>
                    <wp:lineTo x="21466" y="20751"/>
                    <wp:lineTo x="21466" y="15092"/>
                    <wp:lineTo x="19861" y="15092"/>
                    <wp:lineTo x="21266" y="6603"/>
                    <wp:lineTo x="19661" y="0"/>
                    <wp:lineTo x="5818" y="0"/>
                    <wp:lineTo x="4815" y="0"/>
                  </wp:wrapPolygon>
                </wp:wrapTight>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051050" cy="436245"/>
                        </a:xfrm>
                        <a:prstGeom prst="rect">
                          <a:avLst/>
                        </a:prstGeom>
                      </pic:spPr>
                    </pic:pic>
                  </a:graphicData>
                </a:graphic>
                <wp14:sizeRelH relativeFrom="margin">
                  <wp14:pctWidth>0</wp14:pctWidth>
                </wp14:sizeRelH>
                <wp14:sizeRelV relativeFrom="margin">
                  <wp14:pctHeight>0</wp14:pctHeight>
                </wp14:sizeRelV>
              </wp:anchor>
            </w:drawing>
          </w:r>
        </w:p>
      </w:tc>
      <w:tc>
        <w:tcPr>
          <w:tcW w:w="2070" w:type="dxa"/>
          <w:vAlign w:val="bottom"/>
        </w:tcPr>
        <w:p w14:paraId="1AF5ACC7" w14:textId="55889412" w:rsidR="005A5570" w:rsidRDefault="005A5570" w:rsidP="005A5570">
          <w:pPr>
            <w:pStyle w:val="Header"/>
            <w:tabs>
              <w:tab w:val="clear" w:pos="4680"/>
              <w:tab w:val="clear" w:pos="9360"/>
            </w:tabs>
            <w:spacing w:line="276" w:lineRule="auto"/>
          </w:pPr>
          <w:r w:rsidRPr="005E10E2">
            <w:rPr>
              <w:color w:val="595959" w:themeColor="text1" w:themeTint="A6"/>
            </w:rPr>
            <w:t>Patient Name</w:t>
          </w:r>
          <w:r w:rsidRPr="005E10E2">
            <w:rPr>
              <w:color w:val="595959" w:themeColor="text1" w:themeTint="A6"/>
            </w:rPr>
            <w:br/>
          </w:r>
          <w:r>
            <w:rPr>
              <w:b/>
            </w:rPr>
            <w:t xml:space="preserve">S1</w:t>
          </w:r>
          <w:proofErr w:type="spellStart"/>
          <w:r>
            <w:rPr>
              <w:b/>
            </w:rPr>
            <w:t/>
          </w:r>
          <w:proofErr w:type="spellEnd"/>
          <w:r>
            <w:rPr>
              <w:b/>
            </w:rPr>
            <w:t/>
          </w:r>
        </w:p>
      </w:tc>
      <w:tc>
        <w:tcPr>
          <w:tcW w:w="1890" w:type="dxa"/>
          <w:vAlign w:val="bottom"/>
        </w:tcPr>
        <w:p w14:paraId="5DF1FEC5" w14:textId="2A092AE5" w:rsidR="005A5570" w:rsidRDefault="005A5570" w:rsidP="005A5570">
          <w:pPr>
            <w:pStyle w:val="Header"/>
            <w:tabs>
              <w:tab w:val="clear" w:pos="4680"/>
              <w:tab w:val="clear" w:pos="9360"/>
            </w:tabs>
            <w:spacing w:line="276" w:lineRule="auto"/>
          </w:pPr>
          <w:r>
            <w:rPr>
              <w:color w:val="595959" w:themeColor="text1" w:themeTint="A6"/>
            </w:rPr>
            <w:t>Report Date</w:t>
          </w:r>
          <w:r w:rsidRPr="005E10E2">
            <w:rPr>
              <w:color w:val="595959" w:themeColor="text1" w:themeTint="A6"/>
            </w:rPr>
            <w:br/>
          </w:r>
          <w:r w:rsidRPr="00BE7C4B">
            <w:rPr>
              <w:b/>
            </w:rPr>
            <w:t xml:space="preserve">(DRAFT)</w:t>
          </w:r>
          <w:proofErr w:type="spellStart"/>
          <w:r w:rsidRPr="00BE7C4B">
            <w:rPr>
              <w:b/>
            </w:rPr>
            <w:t/>
          </w:r>
          <w:r>
            <w:rPr>
              <w:b/>
            </w:rPr>
            <w:t/>
          </w:r>
          <w:r w:rsidRPr="00BE7C4B">
            <w:rPr>
              <w:b/>
            </w:rPr>
            <w:t/>
          </w:r>
          <w:proofErr w:type="spellEnd"/>
          <w:r w:rsidRPr="00BE7C4B">
            <w:rPr>
              <w:b/>
            </w:rPr>
            <w:t/>
          </w:r>
        </w:p>
      </w:tc>
      <w:tc>
        <w:tcPr>
          <w:tcW w:w="3150" w:type="dxa"/>
          <w:vAlign w:val="bottom"/>
        </w:tcPr>
        <w:p w14:paraId="27C7B96A" w14:textId="14AA35E5" w:rsidR="005A5570" w:rsidRDefault="005A5570" w:rsidP="005A5570">
          <w:pPr>
            <w:pStyle w:val="Header"/>
            <w:tabs>
              <w:tab w:val="clear" w:pos="4680"/>
              <w:tab w:val="clear" w:pos="9360"/>
            </w:tabs>
            <w:spacing w:line="276" w:lineRule="auto"/>
          </w:pPr>
          <w:r w:rsidRPr="005E10E2">
            <w:rPr>
              <w:color w:val="595959" w:themeColor="text1" w:themeTint="A6"/>
            </w:rPr>
            <w:t>Tumor Type</w:t>
          </w:r>
          <w:r>
            <w:br/>
          </w:r>
          <w:r w:rsidRPr="00BE7C4B">
            <w:rPr>
              <w:b/>
            </w:rPr>
            <w:t xml:space="preserve">NSCLC</w:t>
          </w:r>
          <w:proofErr w:type="spellStart"/>
          <w:r w:rsidRPr="00BE7C4B">
            <w:rPr>
              <w:b/>
            </w:rPr>
            <w:t/>
          </w:r>
          <w:r>
            <w:rPr>
              <w:b/>
            </w:rPr>
            <w:t/>
          </w:r>
          <w:r w:rsidRPr="00BE7C4B">
            <w:rPr>
              <w:b/>
            </w:rPr>
            <w:t/>
          </w:r>
          <w:r>
            <w:rPr>
              <w:b/>
            </w:rPr>
            <w:t/>
          </w:r>
          <w:proofErr w:type="spellEnd"/>
          <w:r w:rsidRPr="00BE7C4B">
            <w:rPr>
              <w:b/>
            </w:rPr>
            <w:t/>
          </w:r>
        </w:p>
      </w:tc>
    </w:tr>
  </w:tbl>
  <w:p w14:paraId="6ABBA456" w14:textId="77777777" w:rsidR="000F7A2B" w:rsidRDefault="000F7A2B" w:rsidP="005E10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3003502"/>
    <w:multiLevelType w:val="hybridMultilevel"/>
    <w:tmpl w:val="44525EEA"/>
    <w:lvl w:ilvl="0" w:tplc="7EE0E502">
      <w:start w:val="2014"/>
      <w:numFmt w:val="bullet"/>
      <w:lvlText w:val=""/>
      <w:lvlJc w:val="left"/>
      <w:pPr>
        <w:ind w:left="405" w:hanging="360"/>
      </w:pPr>
      <w:rPr>
        <w:rFonts w:ascii="Symbol" w:eastAsiaTheme="minorHAnsi" w:hAnsi="Symbol" w:cstheme="minorBidi" w:hint="default"/>
        <w:color w:val="262626" w:themeColor="text1" w:themeTint="D9"/>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num w:numId="1" w16cid:durableId="158182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5E10E2"/>
    <w:rsid w:val="00004B20"/>
    <w:rsid w:val="00004C1C"/>
    <w:rsid w:val="000058CD"/>
    <w:rsid w:val="000175DC"/>
    <w:rsid w:val="00020186"/>
    <w:rsid w:val="00022C82"/>
    <w:rsid w:val="00023CAE"/>
    <w:rsid w:val="00023EF1"/>
    <w:rsid w:val="0002622F"/>
    <w:rsid w:val="0002665A"/>
    <w:rsid w:val="00026914"/>
    <w:rsid w:val="00026F51"/>
    <w:rsid w:val="000274CF"/>
    <w:rsid w:val="00027AB4"/>
    <w:rsid w:val="00031088"/>
    <w:rsid w:val="00034DF4"/>
    <w:rsid w:val="000410AA"/>
    <w:rsid w:val="000410ED"/>
    <w:rsid w:val="000429CB"/>
    <w:rsid w:val="000454BE"/>
    <w:rsid w:val="00045B2A"/>
    <w:rsid w:val="00045CE6"/>
    <w:rsid w:val="0005044D"/>
    <w:rsid w:val="000511D1"/>
    <w:rsid w:val="00051521"/>
    <w:rsid w:val="00053401"/>
    <w:rsid w:val="000538A6"/>
    <w:rsid w:val="000553AA"/>
    <w:rsid w:val="00057FB2"/>
    <w:rsid w:val="00061410"/>
    <w:rsid w:val="00063954"/>
    <w:rsid w:val="00063F1D"/>
    <w:rsid w:val="000643B0"/>
    <w:rsid w:val="000649BE"/>
    <w:rsid w:val="00066FEF"/>
    <w:rsid w:val="00072A3D"/>
    <w:rsid w:val="00074C85"/>
    <w:rsid w:val="00075727"/>
    <w:rsid w:val="000768E4"/>
    <w:rsid w:val="000772B4"/>
    <w:rsid w:val="00080238"/>
    <w:rsid w:val="00082D69"/>
    <w:rsid w:val="000950A8"/>
    <w:rsid w:val="00096088"/>
    <w:rsid w:val="000A0E94"/>
    <w:rsid w:val="000A3AFC"/>
    <w:rsid w:val="000A763F"/>
    <w:rsid w:val="000B0228"/>
    <w:rsid w:val="000B0BCE"/>
    <w:rsid w:val="000B0E8C"/>
    <w:rsid w:val="000B1168"/>
    <w:rsid w:val="000B2B85"/>
    <w:rsid w:val="000B3056"/>
    <w:rsid w:val="000B7A41"/>
    <w:rsid w:val="000C1A9A"/>
    <w:rsid w:val="000C32F7"/>
    <w:rsid w:val="000C602E"/>
    <w:rsid w:val="000C678D"/>
    <w:rsid w:val="000C6F95"/>
    <w:rsid w:val="000C79F3"/>
    <w:rsid w:val="000D04D7"/>
    <w:rsid w:val="000D0C8C"/>
    <w:rsid w:val="000D1D19"/>
    <w:rsid w:val="000D5139"/>
    <w:rsid w:val="000D7323"/>
    <w:rsid w:val="000D7CF5"/>
    <w:rsid w:val="000E0524"/>
    <w:rsid w:val="000E399D"/>
    <w:rsid w:val="000E5D34"/>
    <w:rsid w:val="000F189F"/>
    <w:rsid w:val="000F1907"/>
    <w:rsid w:val="000F1922"/>
    <w:rsid w:val="000F2A94"/>
    <w:rsid w:val="000F3AF1"/>
    <w:rsid w:val="000F4823"/>
    <w:rsid w:val="000F5727"/>
    <w:rsid w:val="000F65BD"/>
    <w:rsid w:val="000F7A2B"/>
    <w:rsid w:val="00102F18"/>
    <w:rsid w:val="00104E4B"/>
    <w:rsid w:val="001128D7"/>
    <w:rsid w:val="00114EF0"/>
    <w:rsid w:val="00115F6B"/>
    <w:rsid w:val="00117665"/>
    <w:rsid w:val="001209AB"/>
    <w:rsid w:val="001229D7"/>
    <w:rsid w:val="00131281"/>
    <w:rsid w:val="00131D1E"/>
    <w:rsid w:val="00133737"/>
    <w:rsid w:val="00133E8A"/>
    <w:rsid w:val="001341F6"/>
    <w:rsid w:val="001357C0"/>
    <w:rsid w:val="0013637C"/>
    <w:rsid w:val="00141094"/>
    <w:rsid w:val="001426AC"/>
    <w:rsid w:val="0014495D"/>
    <w:rsid w:val="00151286"/>
    <w:rsid w:val="001519CC"/>
    <w:rsid w:val="00152904"/>
    <w:rsid w:val="00152CA2"/>
    <w:rsid w:val="00154288"/>
    <w:rsid w:val="00163F4A"/>
    <w:rsid w:val="00170070"/>
    <w:rsid w:val="0017031A"/>
    <w:rsid w:val="0017205B"/>
    <w:rsid w:val="00172814"/>
    <w:rsid w:val="001730E9"/>
    <w:rsid w:val="001737D9"/>
    <w:rsid w:val="00174B29"/>
    <w:rsid w:val="00176C59"/>
    <w:rsid w:val="00177605"/>
    <w:rsid w:val="00177803"/>
    <w:rsid w:val="00180B3B"/>
    <w:rsid w:val="001818CA"/>
    <w:rsid w:val="00183821"/>
    <w:rsid w:val="00184378"/>
    <w:rsid w:val="00185F94"/>
    <w:rsid w:val="00190A94"/>
    <w:rsid w:val="00191012"/>
    <w:rsid w:val="00191207"/>
    <w:rsid w:val="00193441"/>
    <w:rsid w:val="00195062"/>
    <w:rsid w:val="0019694E"/>
    <w:rsid w:val="00197207"/>
    <w:rsid w:val="001A2FF2"/>
    <w:rsid w:val="001A4506"/>
    <w:rsid w:val="001A4A6C"/>
    <w:rsid w:val="001A4E23"/>
    <w:rsid w:val="001A651C"/>
    <w:rsid w:val="001A7BEF"/>
    <w:rsid w:val="001B7FA4"/>
    <w:rsid w:val="001C4BA0"/>
    <w:rsid w:val="001C4EEA"/>
    <w:rsid w:val="001C5817"/>
    <w:rsid w:val="001C65D1"/>
    <w:rsid w:val="001D3842"/>
    <w:rsid w:val="001D5D05"/>
    <w:rsid w:val="001D6AE1"/>
    <w:rsid w:val="001D6B1C"/>
    <w:rsid w:val="001D71AF"/>
    <w:rsid w:val="001E12AF"/>
    <w:rsid w:val="001E16F1"/>
    <w:rsid w:val="001E3384"/>
    <w:rsid w:val="001E351A"/>
    <w:rsid w:val="001E5FD0"/>
    <w:rsid w:val="001E7687"/>
    <w:rsid w:val="001F0B24"/>
    <w:rsid w:val="001F0D62"/>
    <w:rsid w:val="001F40A0"/>
    <w:rsid w:val="001F58D1"/>
    <w:rsid w:val="00202037"/>
    <w:rsid w:val="0020499F"/>
    <w:rsid w:val="002072B3"/>
    <w:rsid w:val="002073B6"/>
    <w:rsid w:val="00211730"/>
    <w:rsid w:val="00211A96"/>
    <w:rsid w:val="0021442D"/>
    <w:rsid w:val="00217D0B"/>
    <w:rsid w:val="00222DAF"/>
    <w:rsid w:val="00223C74"/>
    <w:rsid w:val="00224215"/>
    <w:rsid w:val="002314A0"/>
    <w:rsid w:val="002324B8"/>
    <w:rsid w:val="002328C3"/>
    <w:rsid w:val="002402FB"/>
    <w:rsid w:val="002407C5"/>
    <w:rsid w:val="00241838"/>
    <w:rsid w:val="002421C7"/>
    <w:rsid w:val="002426AA"/>
    <w:rsid w:val="00244056"/>
    <w:rsid w:val="00245C1D"/>
    <w:rsid w:val="00245DA4"/>
    <w:rsid w:val="00247A46"/>
    <w:rsid w:val="002503AC"/>
    <w:rsid w:val="00252700"/>
    <w:rsid w:val="002534FB"/>
    <w:rsid w:val="00255994"/>
    <w:rsid w:val="00256A7D"/>
    <w:rsid w:val="00260856"/>
    <w:rsid w:val="00261042"/>
    <w:rsid w:val="00261163"/>
    <w:rsid w:val="0026634B"/>
    <w:rsid w:val="00267DFB"/>
    <w:rsid w:val="0027249B"/>
    <w:rsid w:val="00272CA7"/>
    <w:rsid w:val="002754FD"/>
    <w:rsid w:val="00276CFD"/>
    <w:rsid w:val="00277FF3"/>
    <w:rsid w:val="00284A15"/>
    <w:rsid w:val="00286A8C"/>
    <w:rsid w:val="00287E21"/>
    <w:rsid w:val="0029035D"/>
    <w:rsid w:val="00290785"/>
    <w:rsid w:val="00291A5B"/>
    <w:rsid w:val="00293BD5"/>
    <w:rsid w:val="0029646D"/>
    <w:rsid w:val="002969A7"/>
    <w:rsid w:val="002A6011"/>
    <w:rsid w:val="002A6347"/>
    <w:rsid w:val="002A6BD9"/>
    <w:rsid w:val="002A77AF"/>
    <w:rsid w:val="002B0E73"/>
    <w:rsid w:val="002B7FCD"/>
    <w:rsid w:val="002C22CE"/>
    <w:rsid w:val="002C344D"/>
    <w:rsid w:val="002C4B42"/>
    <w:rsid w:val="002C5EEA"/>
    <w:rsid w:val="002C656E"/>
    <w:rsid w:val="002D00A3"/>
    <w:rsid w:val="002D24CF"/>
    <w:rsid w:val="002D2C25"/>
    <w:rsid w:val="002D4DF9"/>
    <w:rsid w:val="002D51EA"/>
    <w:rsid w:val="002D5346"/>
    <w:rsid w:val="002E0B50"/>
    <w:rsid w:val="002E0EB0"/>
    <w:rsid w:val="002E14D2"/>
    <w:rsid w:val="002E1866"/>
    <w:rsid w:val="002E2948"/>
    <w:rsid w:val="002E3C35"/>
    <w:rsid w:val="002E53CC"/>
    <w:rsid w:val="002E542D"/>
    <w:rsid w:val="002E5992"/>
    <w:rsid w:val="002E72DE"/>
    <w:rsid w:val="002F060C"/>
    <w:rsid w:val="002F1447"/>
    <w:rsid w:val="002F26BE"/>
    <w:rsid w:val="002F2ED5"/>
    <w:rsid w:val="002F3513"/>
    <w:rsid w:val="002F70CC"/>
    <w:rsid w:val="003033F4"/>
    <w:rsid w:val="00303CFE"/>
    <w:rsid w:val="003061E9"/>
    <w:rsid w:val="0031331B"/>
    <w:rsid w:val="00313F9A"/>
    <w:rsid w:val="00315695"/>
    <w:rsid w:val="00315C8E"/>
    <w:rsid w:val="0031768C"/>
    <w:rsid w:val="003205D0"/>
    <w:rsid w:val="003213CD"/>
    <w:rsid w:val="00324D91"/>
    <w:rsid w:val="00325C5A"/>
    <w:rsid w:val="00327AAA"/>
    <w:rsid w:val="003302E6"/>
    <w:rsid w:val="003303DE"/>
    <w:rsid w:val="00330F0F"/>
    <w:rsid w:val="00335085"/>
    <w:rsid w:val="00341DD3"/>
    <w:rsid w:val="00344F3A"/>
    <w:rsid w:val="00345C6E"/>
    <w:rsid w:val="00346979"/>
    <w:rsid w:val="00347496"/>
    <w:rsid w:val="00353FF5"/>
    <w:rsid w:val="003546EA"/>
    <w:rsid w:val="00355DD0"/>
    <w:rsid w:val="00356632"/>
    <w:rsid w:val="00356C89"/>
    <w:rsid w:val="00360D8D"/>
    <w:rsid w:val="00361646"/>
    <w:rsid w:val="00363804"/>
    <w:rsid w:val="0036418D"/>
    <w:rsid w:val="00366B00"/>
    <w:rsid w:val="00367F48"/>
    <w:rsid w:val="00374695"/>
    <w:rsid w:val="00375746"/>
    <w:rsid w:val="00377BB3"/>
    <w:rsid w:val="00380828"/>
    <w:rsid w:val="0038110E"/>
    <w:rsid w:val="003824CF"/>
    <w:rsid w:val="003836C2"/>
    <w:rsid w:val="0038443D"/>
    <w:rsid w:val="00384575"/>
    <w:rsid w:val="00385CF1"/>
    <w:rsid w:val="003863FB"/>
    <w:rsid w:val="00386E5F"/>
    <w:rsid w:val="0039020D"/>
    <w:rsid w:val="00391F82"/>
    <w:rsid w:val="00393F53"/>
    <w:rsid w:val="00394929"/>
    <w:rsid w:val="00396E39"/>
    <w:rsid w:val="00397023"/>
    <w:rsid w:val="003A0659"/>
    <w:rsid w:val="003A07AB"/>
    <w:rsid w:val="003A4536"/>
    <w:rsid w:val="003B09EE"/>
    <w:rsid w:val="003B471F"/>
    <w:rsid w:val="003B4CC9"/>
    <w:rsid w:val="003B593C"/>
    <w:rsid w:val="003B7373"/>
    <w:rsid w:val="003C0523"/>
    <w:rsid w:val="003C3A01"/>
    <w:rsid w:val="003C4110"/>
    <w:rsid w:val="003C4563"/>
    <w:rsid w:val="003C4975"/>
    <w:rsid w:val="003D1D91"/>
    <w:rsid w:val="003E16EF"/>
    <w:rsid w:val="003E39AC"/>
    <w:rsid w:val="003E4CAF"/>
    <w:rsid w:val="003F2741"/>
    <w:rsid w:val="003F3EDB"/>
    <w:rsid w:val="003F74E6"/>
    <w:rsid w:val="003F7FEF"/>
    <w:rsid w:val="0040430F"/>
    <w:rsid w:val="0040469A"/>
    <w:rsid w:val="00404986"/>
    <w:rsid w:val="00406457"/>
    <w:rsid w:val="00406B22"/>
    <w:rsid w:val="00407CE3"/>
    <w:rsid w:val="0041343F"/>
    <w:rsid w:val="00413B6B"/>
    <w:rsid w:val="00414384"/>
    <w:rsid w:val="00416FD1"/>
    <w:rsid w:val="004173D6"/>
    <w:rsid w:val="00422C8E"/>
    <w:rsid w:val="0042345D"/>
    <w:rsid w:val="00423674"/>
    <w:rsid w:val="004236E8"/>
    <w:rsid w:val="00424A6B"/>
    <w:rsid w:val="004279D3"/>
    <w:rsid w:val="00427A4C"/>
    <w:rsid w:val="00433B10"/>
    <w:rsid w:val="004341D7"/>
    <w:rsid w:val="0043467F"/>
    <w:rsid w:val="004348F6"/>
    <w:rsid w:val="004372A6"/>
    <w:rsid w:val="00440710"/>
    <w:rsid w:val="00441932"/>
    <w:rsid w:val="00441A2B"/>
    <w:rsid w:val="00445616"/>
    <w:rsid w:val="00450064"/>
    <w:rsid w:val="00451BDF"/>
    <w:rsid w:val="004521BA"/>
    <w:rsid w:val="00453925"/>
    <w:rsid w:val="0045519C"/>
    <w:rsid w:val="004564F2"/>
    <w:rsid w:val="004645C1"/>
    <w:rsid w:val="00467598"/>
    <w:rsid w:val="0046789D"/>
    <w:rsid w:val="00467DA1"/>
    <w:rsid w:val="00470FDC"/>
    <w:rsid w:val="00471E32"/>
    <w:rsid w:val="00472FF4"/>
    <w:rsid w:val="00473BD6"/>
    <w:rsid w:val="00474D05"/>
    <w:rsid w:val="00477CE0"/>
    <w:rsid w:val="00477F85"/>
    <w:rsid w:val="00480585"/>
    <w:rsid w:val="00484214"/>
    <w:rsid w:val="004856FF"/>
    <w:rsid w:val="00492F4A"/>
    <w:rsid w:val="00494C10"/>
    <w:rsid w:val="00496263"/>
    <w:rsid w:val="00497A85"/>
    <w:rsid w:val="004A0136"/>
    <w:rsid w:val="004B05DE"/>
    <w:rsid w:val="004C1253"/>
    <w:rsid w:val="004C17D9"/>
    <w:rsid w:val="004C25B9"/>
    <w:rsid w:val="004C2B74"/>
    <w:rsid w:val="004C4098"/>
    <w:rsid w:val="004C4F2F"/>
    <w:rsid w:val="004C79CF"/>
    <w:rsid w:val="004D1572"/>
    <w:rsid w:val="004D1D8D"/>
    <w:rsid w:val="004D3672"/>
    <w:rsid w:val="004D3D11"/>
    <w:rsid w:val="004D4178"/>
    <w:rsid w:val="004D65A7"/>
    <w:rsid w:val="004E14E2"/>
    <w:rsid w:val="004E18A0"/>
    <w:rsid w:val="004E1AA3"/>
    <w:rsid w:val="004E2603"/>
    <w:rsid w:val="004F209A"/>
    <w:rsid w:val="004F44CC"/>
    <w:rsid w:val="004F5B84"/>
    <w:rsid w:val="005002CE"/>
    <w:rsid w:val="00503CF4"/>
    <w:rsid w:val="005044F3"/>
    <w:rsid w:val="005053FC"/>
    <w:rsid w:val="00507076"/>
    <w:rsid w:val="00511DAC"/>
    <w:rsid w:val="00512425"/>
    <w:rsid w:val="00513018"/>
    <w:rsid w:val="0051469C"/>
    <w:rsid w:val="00514E02"/>
    <w:rsid w:val="00514F8B"/>
    <w:rsid w:val="0051635A"/>
    <w:rsid w:val="00516ED5"/>
    <w:rsid w:val="005206A8"/>
    <w:rsid w:val="005214F3"/>
    <w:rsid w:val="005217FE"/>
    <w:rsid w:val="00521E14"/>
    <w:rsid w:val="005250F5"/>
    <w:rsid w:val="005301AB"/>
    <w:rsid w:val="00530776"/>
    <w:rsid w:val="00530FA7"/>
    <w:rsid w:val="00531402"/>
    <w:rsid w:val="00534004"/>
    <w:rsid w:val="00535F5F"/>
    <w:rsid w:val="00541695"/>
    <w:rsid w:val="0054193E"/>
    <w:rsid w:val="00542EED"/>
    <w:rsid w:val="00543615"/>
    <w:rsid w:val="00546900"/>
    <w:rsid w:val="0055310C"/>
    <w:rsid w:val="005554C6"/>
    <w:rsid w:val="00556161"/>
    <w:rsid w:val="00561915"/>
    <w:rsid w:val="00562F23"/>
    <w:rsid w:val="005636CB"/>
    <w:rsid w:val="005642B2"/>
    <w:rsid w:val="005651DB"/>
    <w:rsid w:val="0056552A"/>
    <w:rsid w:val="00565655"/>
    <w:rsid w:val="00566B36"/>
    <w:rsid w:val="005675C7"/>
    <w:rsid w:val="00567A7A"/>
    <w:rsid w:val="00572741"/>
    <w:rsid w:val="00574216"/>
    <w:rsid w:val="005748A4"/>
    <w:rsid w:val="00574BEB"/>
    <w:rsid w:val="005762C7"/>
    <w:rsid w:val="005771F0"/>
    <w:rsid w:val="005775CC"/>
    <w:rsid w:val="00580DF3"/>
    <w:rsid w:val="00581470"/>
    <w:rsid w:val="00582BD7"/>
    <w:rsid w:val="00584849"/>
    <w:rsid w:val="00586EF0"/>
    <w:rsid w:val="0059000E"/>
    <w:rsid w:val="00590122"/>
    <w:rsid w:val="00590FED"/>
    <w:rsid w:val="0059116A"/>
    <w:rsid w:val="005919E2"/>
    <w:rsid w:val="0059311D"/>
    <w:rsid w:val="00593A5F"/>
    <w:rsid w:val="00594EDB"/>
    <w:rsid w:val="00597835"/>
    <w:rsid w:val="005A0FA8"/>
    <w:rsid w:val="005A2537"/>
    <w:rsid w:val="005A5570"/>
    <w:rsid w:val="005A5BEE"/>
    <w:rsid w:val="005A642A"/>
    <w:rsid w:val="005B0DB5"/>
    <w:rsid w:val="005B46B6"/>
    <w:rsid w:val="005B7EE5"/>
    <w:rsid w:val="005C562F"/>
    <w:rsid w:val="005C6E5A"/>
    <w:rsid w:val="005C709B"/>
    <w:rsid w:val="005C72B5"/>
    <w:rsid w:val="005D12A5"/>
    <w:rsid w:val="005D3694"/>
    <w:rsid w:val="005D524D"/>
    <w:rsid w:val="005D572C"/>
    <w:rsid w:val="005D5C5C"/>
    <w:rsid w:val="005D7FE8"/>
    <w:rsid w:val="005E10E2"/>
    <w:rsid w:val="005E1A8D"/>
    <w:rsid w:val="005E1D45"/>
    <w:rsid w:val="005F538A"/>
    <w:rsid w:val="005F6267"/>
    <w:rsid w:val="005F747F"/>
    <w:rsid w:val="005F7EBB"/>
    <w:rsid w:val="006011E3"/>
    <w:rsid w:val="006075C2"/>
    <w:rsid w:val="00607D2F"/>
    <w:rsid w:val="00611FD3"/>
    <w:rsid w:val="00615F6F"/>
    <w:rsid w:val="00621147"/>
    <w:rsid w:val="0062147C"/>
    <w:rsid w:val="00622910"/>
    <w:rsid w:val="00625BF9"/>
    <w:rsid w:val="00626364"/>
    <w:rsid w:val="00627290"/>
    <w:rsid w:val="00627582"/>
    <w:rsid w:val="00630A62"/>
    <w:rsid w:val="0063144D"/>
    <w:rsid w:val="0063192E"/>
    <w:rsid w:val="00635960"/>
    <w:rsid w:val="00636A98"/>
    <w:rsid w:val="006412B1"/>
    <w:rsid w:val="006455E9"/>
    <w:rsid w:val="0064700C"/>
    <w:rsid w:val="006478F9"/>
    <w:rsid w:val="006556CC"/>
    <w:rsid w:val="00660DED"/>
    <w:rsid w:val="0066350F"/>
    <w:rsid w:val="00664163"/>
    <w:rsid w:val="00665ADC"/>
    <w:rsid w:val="00665B29"/>
    <w:rsid w:val="00665CE6"/>
    <w:rsid w:val="0066645F"/>
    <w:rsid w:val="00670254"/>
    <w:rsid w:val="00671F9F"/>
    <w:rsid w:val="00674222"/>
    <w:rsid w:val="00675D90"/>
    <w:rsid w:val="00676AF6"/>
    <w:rsid w:val="00677AA6"/>
    <w:rsid w:val="006803C9"/>
    <w:rsid w:val="006807A1"/>
    <w:rsid w:val="00682082"/>
    <w:rsid w:val="00684FCB"/>
    <w:rsid w:val="00687F65"/>
    <w:rsid w:val="006912F8"/>
    <w:rsid w:val="00693E32"/>
    <w:rsid w:val="006A2B16"/>
    <w:rsid w:val="006A4661"/>
    <w:rsid w:val="006B0186"/>
    <w:rsid w:val="006B09EA"/>
    <w:rsid w:val="006B146F"/>
    <w:rsid w:val="006B4E37"/>
    <w:rsid w:val="006B59AF"/>
    <w:rsid w:val="006B5DA4"/>
    <w:rsid w:val="006C581E"/>
    <w:rsid w:val="006C5B38"/>
    <w:rsid w:val="006C69E2"/>
    <w:rsid w:val="006D09C2"/>
    <w:rsid w:val="006D0A33"/>
    <w:rsid w:val="006D132B"/>
    <w:rsid w:val="006D18B7"/>
    <w:rsid w:val="006D3DBF"/>
    <w:rsid w:val="006D3F97"/>
    <w:rsid w:val="006E0B99"/>
    <w:rsid w:val="006E1EDA"/>
    <w:rsid w:val="006E20D8"/>
    <w:rsid w:val="006E5D28"/>
    <w:rsid w:val="006E76A7"/>
    <w:rsid w:val="006E7EC2"/>
    <w:rsid w:val="006F5258"/>
    <w:rsid w:val="006F69A3"/>
    <w:rsid w:val="00701B06"/>
    <w:rsid w:val="00702152"/>
    <w:rsid w:val="0070246F"/>
    <w:rsid w:val="00703AE5"/>
    <w:rsid w:val="00703D4B"/>
    <w:rsid w:val="00703E28"/>
    <w:rsid w:val="00706D14"/>
    <w:rsid w:val="007102DD"/>
    <w:rsid w:val="007108F6"/>
    <w:rsid w:val="00711449"/>
    <w:rsid w:val="00713C5B"/>
    <w:rsid w:val="00713D8B"/>
    <w:rsid w:val="00716A79"/>
    <w:rsid w:val="00716D06"/>
    <w:rsid w:val="00716D0E"/>
    <w:rsid w:val="00721703"/>
    <w:rsid w:val="00721E53"/>
    <w:rsid w:val="00724573"/>
    <w:rsid w:val="007246C7"/>
    <w:rsid w:val="007250C0"/>
    <w:rsid w:val="00725748"/>
    <w:rsid w:val="00725A82"/>
    <w:rsid w:val="007328D0"/>
    <w:rsid w:val="007328EF"/>
    <w:rsid w:val="00732D37"/>
    <w:rsid w:val="00740EAA"/>
    <w:rsid w:val="007440F8"/>
    <w:rsid w:val="007454A7"/>
    <w:rsid w:val="00745C6E"/>
    <w:rsid w:val="00746075"/>
    <w:rsid w:val="007507BD"/>
    <w:rsid w:val="00750D4C"/>
    <w:rsid w:val="00754859"/>
    <w:rsid w:val="0075576E"/>
    <w:rsid w:val="00755B21"/>
    <w:rsid w:val="00755E7E"/>
    <w:rsid w:val="00760A30"/>
    <w:rsid w:val="00761A06"/>
    <w:rsid w:val="0076250F"/>
    <w:rsid w:val="007629A8"/>
    <w:rsid w:val="00762FF8"/>
    <w:rsid w:val="007649EF"/>
    <w:rsid w:val="00766119"/>
    <w:rsid w:val="007662B9"/>
    <w:rsid w:val="007667F0"/>
    <w:rsid w:val="00766B2E"/>
    <w:rsid w:val="00766E4F"/>
    <w:rsid w:val="0077028A"/>
    <w:rsid w:val="00770DD2"/>
    <w:rsid w:val="007727B5"/>
    <w:rsid w:val="00773551"/>
    <w:rsid w:val="00773565"/>
    <w:rsid w:val="007738AF"/>
    <w:rsid w:val="00775336"/>
    <w:rsid w:val="00775528"/>
    <w:rsid w:val="00775884"/>
    <w:rsid w:val="00776763"/>
    <w:rsid w:val="0077690D"/>
    <w:rsid w:val="00785D7D"/>
    <w:rsid w:val="00791269"/>
    <w:rsid w:val="00791F3E"/>
    <w:rsid w:val="00792118"/>
    <w:rsid w:val="007949D1"/>
    <w:rsid w:val="007965E4"/>
    <w:rsid w:val="00796673"/>
    <w:rsid w:val="007A59F9"/>
    <w:rsid w:val="007A6DF4"/>
    <w:rsid w:val="007B06EA"/>
    <w:rsid w:val="007B21E5"/>
    <w:rsid w:val="007B565E"/>
    <w:rsid w:val="007B5980"/>
    <w:rsid w:val="007C03E2"/>
    <w:rsid w:val="007C0E9F"/>
    <w:rsid w:val="007C13BA"/>
    <w:rsid w:val="007C13FA"/>
    <w:rsid w:val="007C4A5A"/>
    <w:rsid w:val="007C4D2F"/>
    <w:rsid w:val="007C76FF"/>
    <w:rsid w:val="007C7D90"/>
    <w:rsid w:val="007D0337"/>
    <w:rsid w:val="007D0415"/>
    <w:rsid w:val="007D2FC3"/>
    <w:rsid w:val="007D68D0"/>
    <w:rsid w:val="007D7C54"/>
    <w:rsid w:val="007E017D"/>
    <w:rsid w:val="007E025C"/>
    <w:rsid w:val="007E2058"/>
    <w:rsid w:val="007E4FDC"/>
    <w:rsid w:val="007E500E"/>
    <w:rsid w:val="007E59C0"/>
    <w:rsid w:val="007E6DA6"/>
    <w:rsid w:val="007E7AB3"/>
    <w:rsid w:val="007F1E51"/>
    <w:rsid w:val="007F2307"/>
    <w:rsid w:val="007F2632"/>
    <w:rsid w:val="007F303D"/>
    <w:rsid w:val="007F4D25"/>
    <w:rsid w:val="007F4DB8"/>
    <w:rsid w:val="007F740A"/>
    <w:rsid w:val="0080137A"/>
    <w:rsid w:val="008022AD"/>
    <w:rsid w:val="00802F70"/>
    <w:rsid w:val="008032A8"/>
    <w:rsid w:val="00806D19"/>
    <w:rsid w:val="008077E0"/>
    <w:rsid w:val="00813AA2"/>
    <w:rsid w:val="0081406E"/>
    <w:rsid w:val="0082121C"/>
    <w:rsid w:val="00825845"/>
    <w:rsid w:val="008274DD"/>
    <w:rsid w:val="008302B5"/>
    <w:rsid w:val="00830DD5"/>
    <w:rsid w:val="008312BB"/>
    <w:rsid w:val="00831A7F"/>
    <w:rsid w:val="00833FFD"/>
    <w:rsid w:val="0083643A"/>
    <w:rsid w:val="008403B5"/>
    <w:rsid w:val="008440EE"/>
    <w:rsid w:val="008448AF"/>
    <w:rsid w:val="00844E72"/>
    <w:rsid w:val="0085229C"/>
    <w:rsid w:val="008525FA"/>
    <w:rsid w:val="00853B9B"/>
    <w:rsid w:val="0085409E"/>
    <w:rsid w:val="00855BDD"/>
    <w:rsid w:val="00856A77"/>
    <w:rsid w:val="00857190"/>
    <w:rsid w:val="00861B32"/>
    <w:rsid w:val="008636B9"/>
    <w:rsid w:val="00865339"/>
    <w:rsid w:val="00870B31"/>
    <w:rsid w:val="00874FD9"/>
    <w:rsid w:val="00877F5D"/>
    <w:rsid w:val="00880ECB"/>
    <w:rsid w:val="008811BD"/>
    <w:rsid w:val="0088194C"/>
    <w:rsid w:val="00881AC3"/>
    <w:rsid w:val="00882CB9"/>
    <w:rsid w:val="008831A8"/>
    <w:rsid w:val="0088516F"/>
    <w:rsid w:val="008854F1"/>
    <w:rsid w:val="008869B1"/>
    <w:rsid w:val="00892F3C"/>
    <w:rsid w:val="00893979"/>
    <w:rsid w:val="00896234"/>
    <w:rsid w:val="00897B24"/>
    <w:rsid w:val="008A07B7"/>
    <w:rsid w:val="008A3EE5"/>
    <w:rsid w:val="008A4872"/>
    <w:rsid w:val="008A64E7"/>
    <w:rsid w:val="008B115A"/>
    <w:rsid w:val="008B4C6C"/>
    <w:rsid w:val="008C006D"/>
    <w:rsid w:val="008C1822"/>
    <w:rsid w:val="008C31E5"/>
    <w:rsid w:val="008C4289"/>
    <w:rsid w:val="008C5723"/>
    <w:rsid w:val="008C5E41"/>
    <w:rsid w:val="008C63DA"/>
    <w:rsid w:val="008D16AB"/>
    <w:rsid w:val="008D31A2"/>
    <w:rsid w:val="008D5F35"/>
    <w:rsid w:val="008D605B"/>
    <w:rsid w:val="008D7D79"/>
    <w:rsid w:val="008E2867"/>
    <w:rsid w:val="008E521A"/>
    <w:rsid w:val="008E7852"/>
    <w:rsid w:val="008F044D"/>
    <w:rsid w:val="008F0A1B"/>
    <w:rsid w:val="008F4954"/>
    <w:rsid w:val="008F54EB"/>
    <w:rsid w:val="008F5EF3"/>
    <w:rsid w:val="008F7B83"/>
    <w:rsid w:val="009009EF"/>
    <w:rsid w:val="009011BC"/>
    <w:rsid w:val="00901D57"/>
    <w:rsid w:val="00902F57"/>
    <w:rsid w:val="009032B7"/>
    <w:rsid w:val="00903EEC"/>
    <w:rsid w:val="00914C43"/>
    <w:rsid w:val="009212F4"/>
    <w:rsid w:val="009220F5"/>
    <w:rsid w:val="00922DF2"/>
    <w:rsid w:val="00925535"/>
    <w:rsid w:val="00932F1D"/>
    <w:rsid w:val="00934EE6"/>
    <w:rsid w:val="00937EF6"/>
    <w:rsid w:val="009406D4"/>
    <w:rsid w:val="00941237"/>
    <w:rsid w:val="0094243A"/>
    <w:rsid w:val="00946AEA"/>
    <w:rsid w:val="00950C2B"/>
    <w:rsid w:val="0095201A"/>
    <w:rsid w:val="00952107"/>
    <w:rsid w:val="0095299F"/>
    <w:rsid w:val="00953948"/>
    <w:rsid w:val="00957167"/>
    <w:rsid w:val="009579D1"/>
    <w:rsid w:val="00957C0D"/>
    <w:rsid w:val="00960C04"/>
    <w:rsid w:val="009615BC"/>
    <w:rsid w:val="00962B40"/>
    <w:rsid w:val="009650D4"/>
    <w:rsid w:val="00965933"/>
    <w:rsid w:val="00972A85"/>
    <w:rsid w:val="00973E4E"/>
    <w:rsid w:val="009747DB"/>
    <w:rsid w:val="00975DC2"/>
    <w:rsid w:val="00976582"/>
    <w:rsid w:val="009815AB"/>
    <w:rsid w:val="00981CD2"/>
    <w:rsid w:val="009844DF"/>
    <w:rsid w:val="009855B6"/>
    <w:rsid w:val="00987F6E"/>
    <w:rsid w:val="009903AD"/>
    <w:rsid w:val="00991229"/>
    <w:rsid w:val="00991469"/>
    <w:rsid w:val="009926D7"/>
    <w:rsid w:val="00992C40"/>
    <w:rsid w:val="00993FA0"/>
    <w:rsid w:val="0099442F"/>
    <w:rsid w:val="009949FB"/>
    <w:rsid w:val="009A23D2"/>
    <w:rsid w:val="009A258D"/>
    <w:rsid w:val="009B1D48"/>
    <w:rsid w:val="009B35A6"/>
    <w:rsid w:val="009B5A3C"/>
    <w:rsid w:val="009B7112"/>
    <w:rsid w:val="009C0D25"/>
    <w:rsid w:val="009C12E8"/>
    <w:rsid w:val="009C2009"/>
    <w:rsid w:val="009C2C3A"/>
    <w:rsid w:val="009C3F9A"/>
    <w:rsid w:val="009C400B"/>
    <w:rsid w:val="009C7A2E"/>
    <w:rsid w:val="009C7FF2"/>
    <w:rsid w:val="009D0C29"/>
    <w:rsid w:val="009D2BBC"/>
    <w:rsid w:val="009D40E5"/>
    <w:rsid w:val="009E286E"/>
    <w:rsid w:val="009E4C0E"/>
    <w:rsid w:val="009E6AB3"/>
    <w:rsid w:val="009E7A5C"/>
    <w:rsid w:val="009F0842"/>
    <w:rsid w:val="009F1060"/>
    <w:rsid w:val="009F2094"/>
    <w:rsid w:val="009F242D"/>
    <w:rsid w:val="00A017F9"/>
    <w:rsid w:val="00A024CE"/>
    <w:rsid w:val="00A04D59"/>
    <w:rsid w:val="00A0526D"/>
    <w:rsid w:val="00A05501"/>
    <w:rsid w:val="00A067C7"/>
    <w:rsid w:val="00A12884"/>
    <w:rsid w:val="00A14761"/>
    <w:rsid w:val="00A14883"/>
    <w:rsid w:val="00A15020"/>
    <w:rsid w:val="00A15D9E"/>
    <w:rsid w:val="00A16042"/>
    <w:rsid w:val="00A20E5C"/>
    <w:rsid w:val="00A2125A"/>
    <w:rsid w:val="00A222EF"/>
    <w:rsid w:val="00A22E23"/>
    <w:rsid w:val="00A240EC"/>
    <w:rsid w:val="00A24FFD"/>
    <w:rsid w:val="00A27014"/>
    <w:rsid w:val="00A318F7"/>
    <w:rsid w:val="00A323B1"/>
    <w:rsid w:val="00A33818"/>
    <w:rsid w:val="00A346C3"/>
    <w:rsid w:val="00A36092"/>
    <w:rsid w:val="00A36AE2"/>
    <w:rsid w:val="00A36D3A"/>
    <w:rsid w:val="00A40451"/>
    <w:rsid w:val="00A41B9C"/>
    <w:rsid w:val="00A42A63"/>
    <w:rsid w:val="00A43826"/>
    <w:rsid w:val="00A47DF7"/>
    <w:rsid w:val="00A51967"/>
    <w:rsid w:val="00A520CB"/>
    <w:rsid w:val="00A52D9E"/>
    <w:rsid w:val="00A54188"/>
    <w:rsid w:val="00A6072A"/>
    <w:rsid w:val="00A60995"/>
    <w:rsid w:val="00A60EC5"/>
    <w:rsid w:val="00A62997"/>
    <w:rsid w:val="00A6457D"/>
    <w:rsid w:val="00A70523"/>
    <w:rsid w:val="00A70EF0"/>
    <w:rsid w:val="00A71274"/>
    <w:rsid w:val="00A7296D"/>
    <w:rsid w:val="00A72ABB"/>
    <w:rsid w:val="00A73983"/>
    <w:rsid w:val="00A765A6"/>
    <w:rsid w:val="00A802C0"/>
    <w:rsid w:val="00A820FA"/>
    <w:rsid w:val="00A82CEF"/>
    <w:rsid w:val="00A87EB5"/>
    <w:rsid w:val="00A90721"/>
    <w:rsid w:val="00A91752"/>
    <w:rsid w:val="00A93DF0"/>
    <w:rsid w:val="00A94D12"/>
    <w:rsid w:val="00A9523A"/>
    <w:rsid w:val="00A9602B"/>
    <w:rsid w:val="00A9615A"/>
    <w:rsid w:val="00A961AF"/>
    <w:rsid w:val="00A96668"/>
    <w:rsid w:val="00A972C8"/>
    <w:rsid w:val="00AA076F"/>
    <w:rsid w:val="00AA3DF6"/>
    <w:rsid w:val="00AB10E8"/>
    <w:rsid w:val="00AB4BAF"/>
    <w:rsid w:val="00AB5179"/>
    <w:rsid w:val="00AB7B9B"/>
    <w:rsid w:val="00AC0C14"/>
    <w:rsid w:val="00AC18B1"/>
    <w:rsid w:val="00AC6F23"/>
    <w:rsid w:val="00AD2900"/>
    <w:rsid w:val="00AD2BA9"/>
    <w:rsid w:val="00AD4CE3"/>
    <w:rsid w:val="00AD4F60"/>
    <w:rsid w:val="00AD55CF"/>
    <w:rsid w:val="00AE1EAC"/>
    <w:rsid w:val="00AE3401"/>
    <w:rsid w:val="00AE6307"/>
    <w:rsid w:val="00AE7FDD"/>
    <w:rsid w:val="00AF0082"/>
    <w:rsid w:val="00AF2A22"/>
    <w:rsid w:val="00AF3128"/>
    <w:rsid w:val="00AF7FC5"/>
    <w:rsid w:val="00B01185"/>
    <w:rsid w:val="00B03192"/>
    <w:rsid w:val="00B0372B"/>
    <w:rsid w:val="00B038F6"/>
    <w:rsid w:val="00B04E63"/>
    <w:rsid w:val="00B0654E"/>
    <w:rsid w:val="00B06F93"/>
    <w:rsid w:val="00B07B43"/>
    <w:rsid w:val="00B1067A"/>
    <w:rsid w:val="00B12956"/>
    <w:rsid w:val="00B12D4C"/>
    <w:rsid w:val="00B1444B"/>
    <w:rsid w:val="00B15E67"/>
    <w:rsid w:val="00B17FFA"/>
    <w:rsid w:val="00B2028B"/>
    <w:rsid w:val="00B210A7"/>
    <w:rsid w:val="00B22288"/>
    <w:rsid w:val="00B257C0"/>
    <w:rsid w:val="00B30510"/>
    <w:rsid w:val="00B31B8C"/>
    <w:rsid w:val="00B31EE7"/>
    <w:rsid w:val="00B323B7"/>
    <w:rsid w:val="00B3299E"/>
    <w:rsid w:val="00B347AC"/>
    <w:rsid w:val="00B362D6"/>
    <w:rsid w:val="00B37BE9"/>
    <w:rsid w:val="00B40869"/>
    <w:rsid w:val="00B40C30"/>
    <w:rsid w:val="00B41BE9"/>
    <w:rsid w:val="00B44DA4"/>
    <w:rsid w:val="00B4628A"/>
    <w:rsid w:val="00B46D88"/>
    <w:rsid w:val="00B470EC"/>
    <w:rsid w:val="00B47E9C"/>
    <w:rsid w:val="00B53928"/>
    <w:rsid w:val="00B605A0"/>
    <w:rsid w:val="00B62658"/>
    <w:rsid w:val="00B63C30"/>
    <w:rsid w:val="00B6487B"/>
    <w:rsid w:val="00B659CC"/>
    <w:rsid w:val="00B70918"/>
    <w:rsid w:val="00B724BA"/>
    <w:rsid w:val="00B744F7"/>
    <w:rsid w:val="00B801D5"/>
    <w:rsid w:val="00B82497"/>
    <w:rsid w:val="00B8721C"/>
    <w:rsid w:val="00B87506"/>
    <w:rsid w:val="00B87785"/>
    <w:rsid w:val="00B9013D"/>
    <w:rsid w:val="00B94300"/>
    <w:rsid w:val="00B957DF"/>
    <w:rsid w:val="00B95D29"/>
    <w:rsid w:val="00B95FA7"/>
    <w:rsid w:val="00B9643F"/>
    <w:rsid w:val="00B9657F"/>
    <w:rsid w:val="00B96EE5"/>
    <w:rsid w:val="00BA0884"/>
    <w:rsid w:val="00BA0BCC"/>
    <w:rsid w:val="00BA22CA"/>
    <w:rsid w:val="00BA40B6"/>
    <w:rsid w:val="00BA6FEA"/>
    <w:rsid w:val="00BB26F2"/>
    <w:rsid w:val="00BB4748"/>
    <w:rsid w:val="00BB49BE"/>
    <w:rsid w:val="00BB62DB"/>
    <w:rsid w:val="00BC1473"/>
    <w:rsid w:val="00BC3343"/>
    <w:rsid w:val="00BC3B80"/>
    <w:rsid w:val="00BC5A8B"/>
    <w:rsid w:val="00BC697A"/>
    <w:rsid w:val="00BC7E63"/>
    <w:rsid w:val="00BD1BA9"/>
    <w:rsid w:val="00BD34DA"/>
    <w:rsid w:val="00BD4735"/>
    <w:rsid w:val="00BD729A"/>
    <w:rsid w:val="00BE4159"/>
    <w:rsid w:val="00BE4A8B"/>
    <w:rsid w:val="00BE68CB"/>
    <w:rsid w:val="00BE6CB0"/>
    <w:rsid w:val="00BE6D4C"/>
    <w:rsid w:val="00BE7C4B"/>
    <w:rsid w:val="00BE7E03"/>
    <w:rsid w:val="00BF121D"/>
    <w:rsid w:val="00BF13C3"/>
    <w:rsid w:val="00BF13D1"/>
    <w:rsid w:val="00BF1A9E"/>
    <w:rsid w:val="00BF2AB2"/>
    <w:rsid w:val="00BF5721"/>
    <w:rsid w:val="00C007AA"/>
    <w:rsid w:val="00C010E1"/>
    <w:rsid w:val="00C04B27"/>
    <w:rsid w:val="00C12DDB"/>
    <w:rsid w:val="00C14A43"/>
    <w:rsid w:val="00C16795"/>
    <w:rsid w:val="00C17BD8"/>
    <w:rsid w:val="00C22D32"/>
    <w:rsid w:val="00C239AE"/>
    <w:rsid w:val="00C321EB"/>
    <w:rsid w:val="00C32B91"/>
    <w:rsid w:val="00C34E4E"/>
    <w:rsid w:val="00C35069"/>
    <w:rsid w:val="00C36A4D"/>
    <w:rsid w:val="00C41F49"/>
    <w:rsid w:val="00C4234D"/>
    <w:rsid w:val="00C42B4B"/>
    <w:rsid w:val="00C4397D"/>
    <w:rsid w:val="00C45F57"/>
    <w:rsid w:val="00C464D5"/>
    <w:rsid w:val="00C53512"/>
    <w:rsid w:val="00C54F92"/>
    <w:rsid w:val="00C5599A"/>
    <w:rsid w:val="00C61147"/>
    <w:rsid w:val="00C63D7E"/>
    <w:rsid w:val="00C64730"/>
    <w:rsid w:val="00C659B0"/>
    <w:rsid w:val="00C707C9"/>
    <w:rsid w:val="00C729A4"/>
    <w:rsid w:val="00C75FE3"/>
    <w:rsid w:val="00C81C31"/>
    <w:rsid w:val="00C83E5F"/>
    <w:rsid w:val="00C926FA"/>
    <w:rsid w:val="00C92B88"/>
    <w:rsid w:val="00C93A5E"/>
    <w:rsid w:val="00C96139"/>
    <w:rsid w:val="00C967E0"/>
    <w:rsid w:val="00CA08CF"/>
    <w:rsid w:val="00CA3651"/>
    <w:rsid w:val="00CA4974"/>
    <w:rsid w:val="00CA4EC0"/>
    <w:rsid w:val="00CA4F3C"/>
    <w:rsid w:val="00CA562F"/>
    <w:rsid w:val="00CA6DAC"/>
    <w:rsid w:val="00CB1216"/>
    <w:rsid w:val="00CB1EA5"/>
    <w:rsid w:val="00CB2C6A"/>
    <w:rsid w:val="00CB370D"/>
    <w:rsid w:val="00CB3B05"/>
    <w:rsid w:val="00CB3F5D"/>
    <w:rsid w:val="00CB44F5"/>
    <w:rsid w:val="00CB45AF"/>
    <w:rsid w:val="00CB47C1"/>
    <w:rsid w:val="00CB4AF7"/>
    <w:rsid w:val="00CB4F59"/>
    <w:rsid w:val="00CB5088"/>
    <w:rsid w:val="00CB56F8"/>
    <w:rsid w:val="00CB7694"/>
    <w:rsid w:val="00CC19B0"/>
    <w:rsid w:val="00CC2A32"/>
    <w:rsid w:val="00CC305D"/>
    <w:rsid w:val="00CC5344"/>
    <w:rsid w:val="00CD35DE"/>
    <w:rsid w:val="00CD3969"/>
    <w:rsid w:val="00CD39FE"/>
    <w:rsid w:val="00CD592F"/>
    <w:rsid w:val="00CE029F"/>
    <w:rsid w:val="00CF14A2"/>
    <w:rsid w:val="00CF2424"/>
    <w:rsid w:val="00CF6497"/>
    <w:rsid w:val="00D10022"/>
    <w:rsid w:val="00D101F0"/>
    <w:rsid w:val="00D1191F"/>
    <w:rsid w:val="00D1453A"/>
    <w:rsid w:val="00D145A6"/>
    <w:rsid w:val="00D149C1"/>
    <w:rsid w:val="00D150D7"/>
    <w:rsid w:val="00D17F3A"/>
    <w:rsid w:val="00D21C0E"/>
    <w:rsid w:val="00D21F1F"/>
    <w:rsid w:val="00D226F9"/>
    <w:rsid w:val="00D238B8"/>
    <w:rsid w:val="00D2503F"/>
    <w:rsid w:val="00D253A6"/>
    <w:rsid w:val="00D25E39"/>
    <w:rsid w:val="00D30FD3"/>
    <w:rsid w:val="00D31161"/>
    <w:rsid w:val="00D311C1"/>
    <w:rsid w:val="00D332B9"/>
    <w:rsid w:val="00D3503D"/>
    <w:rsid w:val="00D35874"/>
    <w:rsid w:val="00D35E60"/>
    <w:rsid w:val="00D41DE6"/>
    <w:rsid w:val="00D517AA"/>
    <w:rsid w:val="00D5356A"/>
    <w:rsid w:val="00D539AE"/>
    <w:rsid w:val="00D53EA3"/>
    <w:rsid w:val="00D5477F"/>
    <w:rsid w:val="00D6042C"/>
    <w:rsid w:val="00D6123A"/>
    <w:rsid w:val="00D631C8"/>
    <w:rsid w:val="00D63EEA"/>
    <w:rsid w:val="00D665E5"/>
    <w:rsid w:val="00D70476"/>
    <w:rsid w:val="00D71DBA"/>
    <w:rsid w:val="00D7205E"/>
    <w:rsid w:val="00D757B4"/>
    <w:rsid w:val="00D75B91"/>
    <w:rsid w:val="00D760F8"/>
    <w:rsid w:val="00D77D0A"/>
    <w:rsid w:val="00D8220A"/>
    <w:rsid w:val="00D82D91"/>
    <w:rsid w:val="00D83854"/>
    <w:rsid w:val="00D855D7"/>
    <w:rsid w:val="00D86300"/>
    <w:rsid w:val="00D90DC6"/>
    <w:rsid w:val="00D90DD4"/>
    <w:rsid w:val="00D92909"/>
    <w:rsid w:val="00D92B82"/>
    <w:rsid w:val="00D931EC"/>
    <w:rsid w:val="00D94CAF"/>
    <w:rsid w:val="00D95F3A"/>
    <w:rsid w:val="00D964F1"/>
    <w:rsid w:val="00DA0B3C"/>
    <w:rsid w:val="00DA1D14"/>
    <w:rsid w:val="00DA1E98"/>
    <w:rsid w:val="00DA3114"/>
    <w:rsid w:val="00DA3583"/>
    <w:rsid w:val="00DA4550"/>
    <w:rsid w:val="00DA45F3"/>
    <w:rsid w:val="00DA5798"/>
    <w:rsid w:val="00DA5FEF"/>
    <w:rsid w:val="00DA657B"/>
    <w:rsid w:val="00DA7847"/>
    <w:rsid w:val="00DB0A55"/>
    <w:rsid w:val="00DB0DE8"/>
    <w:rsid w:val="00DB1561"/>
    <w:rsid w:val="00DB30F5"/>
    <w:rsid w:val="00DB461B"/>
    <w:rsid w:val="00DB7AB8"/>
    <w:rsid w:val="00DB7D19"/>
    <w:rsid w:val="00DC1283"/>
    <w:rsid w:val="00DC220C"/>
    <w:rsid w:val="00DD084E"/>
    <w:rsid w:val="00DD2930"/>
    <w:rsid w:val="00DD39FF"/>
    <w:rsid w:val="00DD3A6D"/>
    <w:rsid w:val="00DD5640"/>
    <w:rsid w:val="00DD76A3"/>
    <w:rsid w:val="00DE0228"/>
    <w:rsid w:val="00DE3716"/>
    <w:rsid w:val="00DF0489"/>
    <w:rsid w:val="00DF2157"/>
    <w:rsid w:val="00DF3475"/>
    <w:rsid w:val="00DF5807"/>
    <w:rsid w:val="00E00DC2"/>
    <w:rsid w:val="00E01BF0"/>
    <w:rsid w:val="00E02DF7"/>
    <w:rsid w:val="00E11B25"/>
    <w:rsid w:val="00E16D9B"/>
    <w:rsid w:val="00E25069"/>
    <w:rsid w:val="00E268FC"/>
    <w:rsid w:val="00E31914"/>
    <w:rsid w:val="00E31E5E"/>
    <w:rsid w:val="00E32961"/>
    <w:rsid w:val="00E334A6"/>
    <w:rsid w:val="00E35512"/>
    <w:rsid w:val="00E35BDF"/>
    <w:rsid w:val="00E35CCA"/>
    <w:rsid w:val="00E37931"/>
    <w:rsid w:val="00E417B8"/>
    <w:rsid w:val="00E41A74"/>
    <w:rsid w:val="00E42866"/>
    <w:rsid w:val="00E4412B"/>
    <w:rsid w:val="00E44D91"/>
    <w:rsid w:val="00E45B12"/>
    <w:rsid w:val="00E467D2"/>
    <w:rsid w:val="00E5145F"/>
    <w:rsid w:val="00E539A2"/>
    <w:rsid w:val="00E60CCD"/>
    <w:rsid w:val="00E621AB"/>
    <w:rsid w:val="00E62C16"/>
    <w:rsid w:val="00E655B8"/>
    <w:rsid w:val="00E661C5"/>
    <w:rsid w:val="00E66C26"/>
    <w:rsid w:val="00E714EC"/>
    <w:rsid w:val="00E72F05"/>
    <w:rsid w:val="00E730CC"/>
    <w:rsid w:val="00E777B3"/>
    <w:rsid w:val="00E77F67"/>
    <w:rsid w:val="00E80363"/>
    <w:rsid w:val="00E80C29"/>
    <w:rsid w:val="00E83511"/>
    <w:rsid w:val="00E8749F"/>
    <w:rsid w:val="00E8766A"/>
    <w:rsid w:val="00E876E2"/>
    <w:rsid w:val="00E9117E"/>
    <w:rsid w:val="00E95DF0"/>
    <w:rsid w:val="00E969F7"/>
    <w:rsid w:val="00EA1631"/>
    <w:rsid w:val="00EA2560"/>
    <w:rsid w:val="00EA51A1"/>
    <w:rsid w:val="00EA680B"/>
    <w:rsid w:val="00EA6C56"/>
    <w:rsid w:val="00EA74EA"/>
    <w:rsid w:val="00EB0721"/>
    <w:rsid w:val="00EB1BAF"/>
    <w:rsid w:val="00EB1F13"/>
    <w:rsid w:val="00EB403A"/>
    <w:rsid w:val="00EB4A28"/>
    <w:rsid w:val="00EB6B81"/>
    <w:rsid w:val="00EB78C7"/>
    <w:rsid w:val="00EC1DC3"/>
    <w:rsid w:val="00EC4093"/>
    <w:rsid w:val="00EC493B"/>
    <w:rsid w:val="00EC5AC8"/>
    <w:rsid w:val="00EC6BD3"/>
    <w:rsid w:val="00ED0026"/>
    <w:rsid w:val="00ED08F8"/>
    <w:rsid w:val="00ED4AD7"/>
    <w:rsid w:val="00ED4B09"/>
    <w:rsid w:val="00EE1D64"/>
    <w:rsid w:val="00EE4196"/>
    <w:rsid w:val="00EE41C2"/>
    <w:rsid w:val="00EE4E27"/>
    <w:rsid w:val="00EF0A3D"/>
    <w:rsid w:val="00EF5C16"/>
    <w:rsid w:val="00EF6E2C"/>
    <w:rsid w:val="00EF7110"/>
    <w:rsid w:val="00EF740A"/>
    <w:rsid w:val="00EF7DE6"/>
    <w:rsid w:val="00F014AA"/>
    <w:rsid w:val="00F01ECD"/>
    <w:rsid w:val="00F02039"/>
    <w:rsid w:val="00F0225E"/>
    <w:rsid w:val="00F022FA"/>
    <w:rsid w:val="00F06BEC"/>
    <w:rsid w:val="00F0737F"/>
    <w:rsid w:val="00F10E5C"/>
    <w:rsid w:val="00F10FBB"/>
    <w:rsid w:val="00F1138F"/>
    <w:rsid w:val="00F12815"/>
    <w:rsid w:val="00F1320B"/>
    <w:rsid w:val="00F14EDF"/>
    <w:rsid w:val="00F207C7"/>
    <w:rsid w:val="00F2100A"/>
    <w:rsid w:val="00F21A6D"/>
    <w:rsid w:val="00F23EB1"/>
    <w:rsid w:val="00F23FCB"/>
    <w:rsid w:val="00F25858"/>
    <w:rsid w:val="00F26C50"/>
    <w:rsid w:val="00F30C57"/>
    <w:rsid w:val="00F30D89"/>
    <w:rsid w:val="00F32259"/>
    <w:rsid w:val="00F33E40"/>
    <w:rsid w:val="00F45E09"/>
    <w:rsid w:val="00F524FA"/>
    <w:rsid w:val="00F56D62"/>
    <w:rsid w:val="00F63666"/>
    <w:rsid w:val="00F6683D"/>
    <w:rsid w:val="00F6757F"/>
    <w:rsid w:val="00F67FF5"/>
    <w:rsid w:val="00F70519"/>
    <w:rsid w:val="00F7152E"/>
    <w:rsid w:val="00F72B1B"/>
    <w:rsid w:val="00F738DD"/>
    <w:rsid w:val="00F75588"/>
    <w:rsid w:val="00F757B0"/>
    <w:rsid w:val="00F76C62"/>
    <w:rsid w:val="00F77066"/>
    <w:rsid w:val="00F8348A"/>
    <w:rsid w:val="00F83F90"/>
    <w:rsid w:val="00F8478C"/>
    <w:rsid w:val="00F86F6D"/>
    <w:rsid w:val="00F97618"/>
    <w:rsid w:val="00FA026E"/>
    <w:rsid w:val="00FA221C"/>
    <w:rsid w:val="00FA254F"/>
    <w:rsid w:val="00FB276C"/>
    <w:rsid w:val="00FB4EB3"/>
    <w:rsid w:val="00FB5B54"/>
    <w:rsid w:val="00FC26A1"/>
    <w:rsid w:val="00FC338E"/>
    <w:rsid w:val="00FC4B1E"/>
    <w:rsid w:val="00FC6340"/>
    <w:rsid w:val="00FC64D5"/>
    <w:rsid w:val="00FC6AE0"/>
    <w:rsid w:val="00FD0F14"/>
    <w:rsid w:val="00FD1290"/>
    <w:rsid w:val="00FD1F41"/>
    <w:rsid w:val="00FD3E99"/>
    <w:rsid w:val="00FE2AAB"/>
    <w:rsid w:val="00FE6331"/>
    <w:rsid w:val="00FE6372"/>
    <w:rsid w:val="00FF1402"/>
    <w:rsid w:val="00FF1D4B"/>
    <w:rsid w:val="00FF3D3E"/>
    <w:rsid w:val="00FF53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D174D2"/>
  <w15:docId w15:val="{2C68EF07-4983-4B26-9405-1C0C7116C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1D91"/>
  </w:style>
  <w:style w:type="paragraph" w:styleId="Heading1">
    <w:name w:val="heading 1"/>
    <w:basedOn w:val="Normal"/>
    <w:next w:val="Normal"/>
    <w:link w:val="Heading1Char"/>
    <w:uiPriority w:val="9"/>
    <w:qFormat/>
    <w:rsid w:val="00F10FB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10FB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BD56A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D56A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BA0BCC"/>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10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0E2"/>
  </w:style>
  <w:style w:type="paragraph" w:styleId="Footer">
    <w:name w:val="footer"/>
    <w:basedOn w:val="Normal"/>
    <w:link w:val="FooterChar"/>
    <w:uiPriority w:val="99"/>
    <w:unhideWhenUsed/>
    <w:rsid w:val="005E10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0E2"/>
  </w:style>
  <w:style w:type="table" w:styleId="TableGrid">
    <w:name w:val="Table Grid"/>
    <w:basedOn w:val="TableNormal"/>
    <w:uiPriority w:val="39"/>
    <w:rsid w:val="005E10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10FB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10FBB"/>
    <w:rPr>
      <w:rFonts w:asciiTheme="majorHAnsi" w:eastAsiaTheme="majorEastAsia" w:hAnsiTheme="majorHAnsi" w:cstheme="majorBidi"/>
      <w:color w:val="2F5496" w:themeColor="accent1" w:themeShade="BF"/>
      <w:sz w:val="26"/>
      <w:szCs w:val="26"/>
    </w:rPr>
  </w:style>
  <w:style w:type="table" w:styleId="GridTable1Light-Accent1">
    <w:name w:val="Grid Table 1 Light Accent 1"/>
    <w:basedOn w:val="TableNormal"/>
    <w:uiPriority w:val="46"/>
    <w:rsid w:val="00D7205E"/>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ListTable6Colorful-Accent3">
    <w:name w:val="List Table 6 Colorful Accent 3"/>
    <w:basedOn w:val="TableNormal"/>
    <w:uiPriority w:val="51"/>
    <w:rsid w:val="00675D90"/>
    <w:pPr>
      <w:spacing w:after="0" w:line="240" w:lineRule="auto"/>
    </w:pPr>
    <w:rPr>
      <w:color w:val="7B7B7B" w:themeColor="accent3" w:themeShade="BF"/>
    </w:rPr>
    <w:tblPr>
      <w:tblStyleRowBandSize w:val="1"/>
    </w:tblPr>
    <w:tblStylePr w:type="firstRow">
      <w:rPr>
        <w:b/>
        <w:bCs/>
      </w:rPr>
      <w:tblPr/>
      <w:tcPr>
        <w:tcBorders>
          <w:bottom w:val="single" w:sz="4" w:space="0" w:color="A5A5A5" w:themeColor="accent3"/>
        </w:tcBorders>
      </w:tcPr>
    </w:tblStylePr>
    <w:tblStylePr w:type="lastRow">
      <w:rPr>
        <w:b/>
        <w:bCs/>
      </w:rPr>
      <w:tblPr/>
      <w:tcPr>
        <w:shd w:val="clear" w:color="auto" w:fill="D5DCE4" w:themeFill="text2" w:themeFillTint="33"/>
      </w:tcPr>
    </w:tblStylePr>
    <w:tblStylePr w:type="firstCol">
      <w:rPr>
        <w:b/>
        <w:bCs/>
      </w:rPr>
    </w:tblStylePr>
    <w:tblStylePr w:type="lastCol">
      <w:rPr>
        <w:b/>
        <w:bCs/>
      </w:rPr>
    </w:tblStylePr>
    <w:tblStylePr w:type="band1Horz">
      <w:tblPr/>
      <w:tcPr>
        <w:shd w:val="clear" w:color="auto" w:fill="EDEDED" w:themeFill="accent3" w:themeFillTint="33"/>
      </w:tcPr>
    </w:tblStylePr>
  </w:style>
  <w:style w:type="character" w:styleId="Hyperlink">
    <w:name w:val="Hyperlink"/>
    <w:basedOn w:val="DefaultParagraphFont"/>
    <w:uiPriority w:val="99"/>
    <w:unhideWhenUsed/>
    <w:rsid w:val="00BC7E63"/>
    <w:rPr>
      <w:color w:val="0000FF"/>
      <w:u w:val="single"/>
    </w:rPr>
  </w:style>
  <w:style w:type="character" w:styleId="UnresolvedMention">
    <w:name w:val="Unresolved Mention"/>
    <w:basedOn w:val="DefaultParagraphFont"/>
    <w:uiPriority w:val="99"/>
    <w:semiHidden/>
    <w:unhideWhenUsed/>
    <w:rsid w:val="00CB56F8"/>
    <w:rPr>
      <w:color w:val="605E5C"/>
      <w:shd w:val="clear" w:color="auto" w:fill="E1DFDD"/>
    </w:rPr>
  </w:style>
  <w:style w:type="paragraph" w:styleId="ListParagraph">
    <w:name w:val="List Paragraph"/>
    <w:basedOn w:val="Normal"/>
    <w:uiPriority w:val="34"/>
    <w:qFormat/>
    <w:rsid w:val="00755B21"/>
    <w:pPr>
      <w:ind w:left="720"/>
      <w:contextualSpacing/>
    </w:pPr>
  </w:style>
  <w:style w:type="character" w:styleId="Strong">
    <w:name w:val="Strong"/>
    <w:basedOn w:val="DefaultParagraphFont"/>
    <w:uiPriority w:val="22"/>
    <w:qFormat/>
    <w:rsid w:val="00991229"/>
    <w:rPr>
      <w:b/>
      <w:bCs/>
    </w:rPr>
  </w:style>
  <w:style w:type="character" w:customStyle="1" w:styleId="Heading5Char">
    <w:name w:val="Heading 5 Char"/>
    <w:basedOn w:val="DefaultParagraphFont"/>
    <w:link w:val="Heading5"/>
    <w:uiPriority w:val="9"/>
    <w:semiHidden/>
    <w:rsid w:val="00BA0BCC"/>
    <w:rPr>
      <w:rFonts w:asciiTheme="majorHAnsi" w:eastAsiaTheme="majorEastAsia" w:hAnsiTheme="majorHAnsi" w:cstheme="majorBidi"/>
      <w:color w:val="2F5496" w:themeColor="accent1" w:themeShade="BF"/>
    </w:rPr>
  </w:style>
  <w:style w:type="character" w:customStyle="1" w:styleId="el-tooltip">
    <w:name w:val="el-tooltip"/>
    <w:basedOn w:val="DefaultParagraphFont"/>
    <w:rsid w:val="005F538A"/>
  </w:style>
  <w:style w:type="table" w:styleId="ListTable7Colorful-Accent1">
    <w:name w:val="List Table 7 Colorful Accent 1"/>
    <w:basedOn w:val="TableNormal"/>
    <w:uiPriority w:val="52"/>
    <w:rsid w:val="008D605B"/>
    <w:pPr>
      <w:spacing w:after="0" w:line="240" w:lineRule="auto"/>
    </w:pPr>
    <w:rPr>
      <w:color w:val="2F5496"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1"/>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FollowedHyperlink">
    <w:name w:val="FollowedHyperlink"/>
    <w:basedOn w:val="DefaultParagraphFont"/>
    <w:uiPriority w:val="99"/>
    <w:semiHidden/>
    <w:unhideWhenUsed/>
    <w:rsid w:val="00020186"/>
    <w:rPr>
      <w:color w:val="954F72" w:themeColor="followedHyperlink"/>
      <w:u w:val="single"/>
    </w:rPr>
  </w:style>
  <w:style w:type="paragraph" w:styleId="Caption">
    <w:name w:val="caption"/>
    <w:basedOn w:val="Normal"/>
    <w:next w:val="Normal"/>
    <w:uiPriority w:val="35"/>
    <w:unhideWhenUsed/>
    <w:qFormat/>
    <w:rsid w:val="006912F8"/>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AB7B9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B7B9B"/>
    <w:rPr>
      <w:rFonts w:ascii="Segoe UI" w:hAnsi="Segoe UI" w:cs="Segoe UI"/>
      <w:sz w:val="18"/>
      <w:szCs w:val="18"/>
    </w:rPr>
  </w:style>
  <w:style w:type="paragraph" w:styleId="Quote">
    <w:name w:val="Quote"/>
    <w:basedOn w:val="Normal"/>
    <w:next w:val="Normal"/>
    <w:link w:val="QuoteChar"/>
    <w:uiPriority w:val="29"/>
    <w:qFormat/>
    <w:rsid w:val="00117C2C"/>
    <w:pPr>
      <w:spacing w:before="200"/>
      <w:ind w:left="864" w:right="864"/>
      <w:jc w:val="center"/>
    </w:pPr>
    <w:rPr>
      <w:i/>
      <w:iCs/>
      <w:color w:val="404040" w:themeColor="text1" w:themeTint="BF"/>
    </w:rPr>
  </w:style>
  <w:style w:type="character" w:customStyle="1" w:styleId="QuoteChar">
    <w:name w:val="Quote Char"/>
    <w:link w:val="Quote"/>
    <w:uiPriority w:val="29"/>
    <w:rsid w:val="00117C2C"/>
    <w:rPr>
      <w:i/>
      <w:iCs/>
      <w:color w:val="404040" w:themeColor="text1" w:themeTint="BF"/>
    </w:rPr>
  </w:style>
  <w:style w:type="paragraph" w:customStyle="1" w:styleId="code">
    <w:name w:val="code"/>
    <w:basedOn w:val="Normal"/>
    <w:qFormat/>
    <w:rPr>
      <w:rFonts w:ascii="Courier 10 Pitch" w:hAnsi="Courier 10 Pitch"/>
      <w:highlight w:val="lightGray"/>
    </w:rPr>
  </w:style>
  <w:style w:type="character" w:styleId="SubtleEmphasis">
    <w:name w:val="Subtle Emphasis"/>
    <w:uiPriority w:val="19"/>
    <w:qFormat/>
    <w:rsid w:val="00F33E4D"/>
    <w:rPr>
      <w:i/>
      <w:iCs/>
      <w:color w:val="404040" w:themeColor="text1" w:themeTint="BF"/>
    </w:rPr>
  </w:style>
  <w:style w:type="paragraph" w:customStyle="1" w:styleId="Heading">
    <w:name w:val="Heading"/>
    <w:basedOn w:val="Normal"/>
    <w:next w:val="Normal"/>
    <w:link w:val="HeadingCar"/>
    <w:uiPriority w:val="10"/>
    <w:qFormat/>
    <w:rsid w:val="00984053"/>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Index">
    <w:name w:val="Index"/>
    <w:basedOn w:val="Normal"/>
    <w:qFormat/>
    <w:pPr>
      <w:suppressLineNumbers/>
    </w:pPr>
    <w:rPr>
      <w:rFonts w:cs="Lohit Devanagari"/>
    </w:rPr>
  </w:style>
  <w:style w:type="paragraph" w:styleId="List">
    <w:name w:val="List"/>
    <w:basedOn w:val="BodyText"/>
    <w:rPr>
      <w:rFonts w:cs="Lohit Devanagari"/>
    </w:rPr>
  </w:style>
  <w:style w:type="character" w:customStyle="1" w:styleId="NumberingSymbols">
    <w:name w:val="Numbering Symbols"/>
    <w:qFormat/>
  </w:style>
  <w:style w:type="paragraph" w:styleId="BodyText">
    <w:name w:val="Body Text"/>
    <w:basedOn w:val="Normal"/>
    <w:pPr>
      <w:spacing w:after="140" w:line="288" w:lineRule="auto"/>
    </w:pPr>
  </w:style>
  <w:style w:type="paragraph" w:styleId="Title">
    <w:name w:val="Title"/>
    <w:basedOn w:val="Heading"/>
    <w:next w:val="BodyText"/>
    <w:qFormat/>
    <w:pPr>
      <w:jc w:val="center"/>
    </w:pPr>
    <w:rPr>
      <w:b/>
      <w:bCs/>
    </w:rPr>
  </w:style>
  <w:style w:type="character" w:customStyle="1" w:styleId="Heading1Car">
    <w:name w:val="Heading 1 Car"/>
    <w:uiPriority w:val="9"/>
    <w:rsid w:val="00F33E4D"/>
    <w:rPr>
      <w:rFonts w:asciiTheme="majorHAnsi" w:eastAsiaTheme="majorEastAsia" w:hAnsiTheme="majorHAnsi" w:cstheme="majorBidi"/>
      <w:color w:val="2F5496" w:themeColor="accent1" w:themeShade="BF"/>
      <w:sz w:val="32"/>
      <w:szCs w:val="32"/>
    </w:rPr>
  </w:style>
  <w:style w:type="character" w:customStyle="1" w:styleId="Heading2Car">
    <w:name w:val="Heading 2 Car"/>
    <w:uiPriority w:val="9"/>
    <w:rsid w:val="00117C2C"/>
    <w:rPr>
      <w:rFonts w:asciiTheme="majorHAnsi" w:eastAsiaTheme="majorEastAsia" w:hAnsiTheme="majorHAnsi" w:cstheme="majorBidi"/>
      <w:color w:val="2F5496" w:themeColor="accent1" w:themeShade="BF"/>
      <w:sz w:val="26"/>
      <w:szCs w:val="26"/>
    </w:rPr>
  </w:style>
  <w:style w:type="character" w:customStyle="1" w:styleId="Heading3Char">
    <w:name w:val="Heading 3 Char"/>
    <w:link w:val="Heading3"/>
    <w:uiPriority w:val="9"/>
    <w:rsid w:val="00BD56A5"/>
    <w:rPr>
      <w:rFonts w:asciiTheme="majorHAnsi" w:eastAsiaTheme="majorEastAsia" w:hAnsiTheme="majorHAnsi" w:cstheme="majorBidi"/>
      <w:color w:val="1F3763" w:themeColor="accent1" w:themeShade="7F"/>
      <w:sz w:val="24"/>
      <w:szCs w:val="24"/>
    </w:rPr>
  </w:style>
  <w:style w:type="character" w:customStyle="1" w:styleId="Heading4Char">
    <w:name w:val="Heading 4 Char"/>
    <w:link w:val="Heading4"/>
    <w:uiPriority w:val="9"/>
    <w:rsid w:val="00BD56A5"/>
    <w:rPr>
      <w:rFonts w:asciiTheme="majorHAnsi" w:eastAsiaTheme="majorEastAsia" w:hAnsiTheme="majorHAnsi" w:cstheme="majorBidi"/>
      <w:i/>
      <w:iCs/>
      <w:color w:val="2F5496" w:themeColor="accent1" w:themeShade="BF"/>
      <w:sz w:val="24"/>
      <w:szCs w:val="24"/>
    </w:rPr>
  </w:style>
  <w:style w:type="character" w:customStyle="1" w:styleId="Heading5Car">
    <w:name w:val="Heading 5 Car"/>
    <w:uiPriority w:val="9"/>
    <w:rsid w:val="00BD56A5"/>
    <w:rPr>
      <w:rFonts w:asciiTheme="majorHAnsi" w:eastAsiaTheme="majorEastAsia" w:hAnsiTheme="majorHAnsi" w:cstheme="majorBidi"/>
      <w:color w:val="2F5496" w:themeColor="accent1" w:themeShade="BF"/>
    </w:rPr>
  </w:style>
  <w:style w:type="character" w:customStyle="1" w:styleId="HeadingCar">
    <w:name w:val="Heading Car"/>
    <w:link w:val="Heading"/>
    <w:uiPriority w:val="10"/>
    <w:rsid w:val="00984053"/>
    <w:rPr>
      <w:rFonts w:asciiTheme="majorHAnsi" w:eastAsiaTheme="majorEastAsia" w:hAnsiTheme="majorHAnsi" w:cstheme="majorBidi"/>
      <w:spacing w:val="-10"/>
      <w:kern w:val="28"/>
      <w:sz w:val="56"/>
      <w:szCs w:val="56"/>
    </w:rPr>
  </w:style>
  <w:style xmlns:w="http://schemas.openxmlformats.org/wordprocessingml/2006/main" w:type="character" w:customStyle="1" w:styleId="CitationCar">
    <w:name w:val="Citation Car"/>
    <w:basedOn w:val="Policepardfaut"/>
    <w:link w:val="Citation"/>
    <w:uiPriority w:val="29"/>
    <w:rsid w:val="00117C2C"/>
    <w:rPr>
      <w:i/>
      <w:iCs/>
      <w:color w:val="404040" w:themeColor="text1" w:themeTint="BF"/>
    </w:rPr>
  </w:style>
  <w:style xmlns:w="http://schemas.openxmlformats.org/wordprocessingml/2006/main" w:type="character" w:customStyle="1" w:styleId="Heading3Car">
    <w:name w:val="Heading 3 Car"/>
    <w:basedOn w:val="Policepardfaut"/>
    <w:link w:val="Heading3"/>
    <w:uiPriority w:val="9"/>
    <w:rsid w:val="00BD56A5"/>
    <w:rPr>
      <w:rFonts w:asciiTheme="majorHAnsi" w:eastAsiaTheme="majorEastAsia" w:hAnsiTheme="majorHAnsi" w:cstheme="majorBidi"/>
      <w:color w:val="1F4D78" w:themeColor="accent1" w:themeShade="7F"/>
      <w:sz w:val="24"/>
      <w:szCs w:val="24"/>
    </w:rPr>
  </w:style>
  <w:style xmlns:w="http://schemas.openxmlformats.org/wordprocessingml/2006/main" w:type="character" w:customStyle="1" w:styleId="Heading4Car">
    <w:name w:val="Heading 4 Car"/>
    <w:basedOn w:val="Policepardfaut"/>
    <w:link w:val="Heading4"/>
    <w:uiPriority w:val="9"/>
    <w:rsid w:val="00BD56A5"/>
    <w:rPr>
      <w:rFonts w:asciiTheme="majorHAnsi" w:eastAsiaTheme="majorEastAsia" w:hAnsiTheme="majorHAnsi" w:cstheme="majorBidi"/>
      <w:i/>
      <w:iCs/>
      <w:color w:val="365F91" w:themeColor="accent1" w:themeShade="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933749">
      <w:bodyDiv w:val="1"/>
      <w:marLeft w:val="0"/>
      <w:marRight w:val="0"/>
      <w:marTop w:val="0"/>
      <w:marBottom w:val="0"/>
      <w:divBdr>
        <w:top w:val="none" w:sz="0" w:space="0" w:color="auto"/>
        <w:left w:val="none" w:sz="0" w:space="0" w:color="auto"/>
        <w:bottom w:val="none" w:sz="0" w:space="0" w:color="auto"/>
        <w:right w:val="none" w:sz="0" w:space="0" w:color="auto"/>
      </w:divBdr>
    </w:div>
    <w:div w:id="242112054">
      <w:bodyDiv w:val="1"/>
      <w:marLeft w:val="0"/>
      <w:marRight w:val="0"/>
      <w:marTop w:val="0"/>
      <w:marBottom w:val="0"/>
      <w:divBdr>
        <w:top w:val="none" w:sz="0" w:space="0" w:color="auto"/>
        <w:left w:val="none" w:sz="0" w:space="0" w:color="auto"/>
        <w:bottom w:val="none" w:sz="0" w:space="0" w:color="auto"/>
        <w:right w:val="none" w:sz="0" w:space="0" w:color="auto"/>
      </w:divBdr>
    </w:div>
    <w:div w:id="287132636">
      <w:bodyDiv w:val="1"/>
      <w:marLeft w:val="0"/>
      <w:marRight w:val="0"/>
      <w:marTop w:val="0"/>
      <w:marBottom w:val="0"/>
      <w:divBdr>
        <w:top w:val="none" w:sz="0" w:space="0" w:color="auto"/>
        <w:left w:val="none" w:sz="0" w:space="0" w:color="auto"/>
        <w:bottom w:val="none" w:sz="0" w:space="0" w:color="auto"/>
        <w:right w:val="none" w:sz="0" w:space="0" w:color="auto"/>
      </w:divBdr>
      <w:divsChild>
        <w:div w:id="1847012242">
          <w:marLeft w:val="0"/>
          <w:marRight w:val="0"/>
          <w:marTop w:val="0"/>
          <w:marBottom w:val="0"/>
          <w:divBdr>
            <w:top w:val="none" w:sz="0" w:space="0" w:color="auto"/>
            <w:left w:val="none" w:sz="0" w:space="0" w:color="auto"/>
            <w:bottom w:val="none" w:sz="0" w:space="0" w:color="auto"/>
            <w:right w:val="none" w:sz="0" w:space="0" w:color="auto"/>
          </w:divBdr>
          <w:divsChild>
            <w:div w:id="779951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706112">
      <w:bodyDiv w:val="1"/>
      <w:marLeft w:val="0"/>
      <w:marRight w:val="0"/>
      <w:marTop w:val="0"/>
      <w:marBottom w:val="0"/>
      <w:divBdr>
        <w:top w:val="none" w:sz="0" w:space="0" w:color="auto"/>
        <w:left w:val="none" w:sz="0" w:space="0" w:color="auto"/>
        <w:bottom w:val="none" w:sz="0" w:space="0" w:color="auto"/>
        <w:right w:val="none" w:sz="0" w:space="0" w:color="auto"/>
      </w:divBdr>
      <w:divsChild>
        <w:div w:id="64649354">
          <w:marLeft w:val="0"/>
          <w:marRight w:val="0"/>
          <w:marTop w:val="0"/>
          <w:marBottom w:val="45"/>
          <w:divBdr>
            <w:top w:val="none" w:sz="0" w:space="0" w:color="auto"/>
            <w:left w:val="none" w:sz="0" w:space="0" w:color="auto"/>
            <w:bottom w:val="none" w:sz="0" w:space="0" w:color="auto"/>
            <w:right w:val="none" w:sz="0" w:space="0" w:color="auto"/>
          </w:divBdr>
        </w:div>
        <w:div w:id="958754106">
          <w:marLeft w:val="0"/>
          <w:marRight w:val="0"/>
          <w:marTop w:val="0"/>
          <w:marBottom w:val="45"/>
          <w:divBdr>
            <w:top w:val="none" w:sz="0" w:space="0" w:color="auto"/>
            <w:left w:val="none" w:sz="0" w:space="0" w:color="auto"/>
            <w:bottom w:val="none" w:sz="0" w:space="0" w:color="auto"/>
            <w:right w:val="none" w:sz="0" w:space="0" w:color="auto"/>
          </w:divBdr>
        </w:div>
        <w:div w:id="1357199162">
          <w:marLeft w:val="0"/>
          <w:marRight w:val="0"/>
          <w:marTop w:val="0"/>
          <w:marBottom w:val="45"/>
          <w:divBdr>
            <w:top w:val="none" w:sz="0" w:space="0" w:color="auto"/>
            <w:left w:val="none" w:sz="0" w:space="0" w:color="auto"/>
            <w:bottom w:val="none" w:sz="0" w:space="0" w:color="auto"/>
            <w:right w:val="none" w:sz="0" w:space="0" w:color="auto"/>
          </w:divBdr>
        </w:div>
        <w:div w:id="1651326272">
          <w:marLeft w:val="0"/>
          <w:marRight w:val="0"/>
          <w:marTop w:val="0"/>
          <w:marBottom w:val="45"/>
          <w:divBdr>
            <w:top w:val="none" w:sz="0" w:space="0" w:color="auto"/>
            <w:left w:val="none" w:sz="0" w:space="0" w:color="auto"/>
            <w:bottom w:val="none" w:sz="0" w:space="0" w:color="auto"/>
            <w:right w:val="none" w:sz="0" w:space="0" w:color="auto"/>
          </w:divBdr>
        </w:div>
      </w:divsChild>
    </w:div>
    <w:div w:id="429935507">
      <w:bodyDiv w:val="1"/>
      <w:marLeft w:val="0"/>
      <w:marRight w:val="0"/>
      <w:marTop w:val="0"/>
      <w:marBottom w:val="0"/>
      <w:divBdr>
        <w:top w:val="none" w:sz="0" w:space="0" w:color="auto"/>
        <w:left w:val="none" w:sz="0" w:space="0" w:color="auto"/>
        <w:bottom w:val="none" w:sz="0" w:space="0" w:color="auto"/>
        <w:right w:val="none" w:sz="0" w:space="0" w:color="auto"/>
      </w:divBdr>
    </w:div>
    <w:div w:id="430666387">
      <w:bodyDiv w:val="1"/>
      <w:marLeft w:val="0"/>
      <w:marRight w:val="0"/>
      <w:marTop w:val="0"/>
      <w:marBottom w:val="0"/>
      <w:divBdr>
        <w:top w:val="none" w:sz="0" w:space="0" w:color="auto"/>
        <w:left w:val="none" w:sz="0" w:space="0" w:color="auto"/>
        <w:bottom w:val="none" w:sz="0" w:space="0" w:color="auto"/>
        <w:right w:val="none" w:sz="0" w:space="0" w:color="auto"/>
      </w:divBdr>
    </w:div>
    <w:div w:id="446586251">
      <w:bodyDiv w:val="1"/>
      <w:marLeft w:val="0"/>
      <w:marRight w:val="0"/>
      <w:marTop w:val="0"/>
      <w:marBottom w:val="0"/>
      <w:divBdr>
        <w:top w:val="none" w:sz="0" w:space="0" w:color="auto"/>
        <w:left w:val="none" w:sz="0" w:space="0" w:color="auto"/>
        <w:bottom w:val="none" w:sz="0" w:space="0" w:color="auto"/>
        <w:right w:val="none" w:sz="0" w:space="0" w:color="auto"/>
      </w:divBdr>
    </w:div>
    <w:div w:id="570651554">
      <w:bodyDiv w:val="1"/>
      <w:marLeft w:val="0"/>
      <w:marRight w:val="0"/>
      <w:marTop w:val="0"/>
      <w:marBottom w:val="0"/>
      <w:divBdr>
        <w:top w:val="none" w:sz="0" w:space="0" w:color="auto"/>
        <w:left w:val="none" w:sz="0" w:space="0" w:color="auto"/>
        <w:bottom w:val="none" w:sz="0" w:space="0" w:color="auto"/>
        <w:right w:val="none" w:sz="0" w:space="0" w:color="auto"/>
      </w:divBdr>
      <w:divsChild>
        <w:div w:id="1842430261">
          <w:marLeft w:val="0"/>
          <w:marRight w:val="0"/>
          <w:marTop w:val="0"/>
          <w:marBottom w:val="0"/>
          <w:divBdr>
            <w:top w:val="none" w:sz="0" w:space="0" w:color="auto"/>
            <w:left w:val="none" w:sz="0" w:space="0" w:color="auto"/>
            <w:bottom w:val="none" w:sz="0" w:space="0" w:color="auto"/>
            <w:right w:val="none" w:sz="0" w:space="0" w:color="auto"/>
          </w:divBdr>
          <w:divsChild>
            <w:div w:id="36302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624264">
      <w:bodyDiv w:val="1"/>
      <w:marLeft w:val="0"/>
      <w:marRight w:val="0"/>
      <w:marTop w:val="0"/>
      <w:marBottom w:val="0"/>
      <w:divBdr>
        <w:top w:val="none" w:sz="0" w:space="0" w:color="auto"/>
        <w:left w:val="none" w:sz="0" w:space="0" w:color="auto"/>
        <w:bottom w:val="none" w:sz="0" w:space="0" w:color="auto"/>
        <w:right w:val="none" w:sz="0" w:space="0" w:color="auto"/>
      </w:divBdr>
    </w:div>
    <w:div w:id="655257814">
      <w:bodyDiv w:val="1"/>
      <w:marLeft w:val="0"/>
      <w:marRight w:val="0"/>
      <w:marTop w:val="0"/>
      <w:marBottom w:val="0"/>
      <w:divBdr>
        <w:top w:val="none" w:sz="0" w:space="0" w:color="auto"/>
        <w:left w:val="none" w:sz="0" w:space="0" w:color="auto"/>
        <w:bottom w:val="none" w:sz="0" w:space="0" w:color="auto"/>
        <w:right w:val="none" w:sz="0" w:space="0" w:color="auto"/>
      </w:divBdr>
    </w:div>
    <w:div w:id="668019898">
      <w:bodyDiv w:val="1"/>
      <w:marLeft w:val="0"/>
      <w:marRight w:val="0"/>
      <w:marTop w:val="0"/>
      <w:marBottom w:val="0"/>
      <w:divBdr>
        <w:top w:val="none" w:sz="0" w:space="0" w:color="auto"/>
        <w:left w:val="none" w:sz="0" w:space="0" w:color="auto"/>
        <w:bottom w:val="none" w:sz="0" w:space="0" w:color="auto"/>
        <w:right w:val="none" w:sz="0" w:space="0" w:color="auto"/>
      </w:divBdr>
      <w:divsChild>
        <w:div w:id="637687928">
          <w:marLeft w:val="0"/>
          <w:marRight w:val="0"/>
          <w:marTop w:val="0"/>
          <w:marBottom w:val="0"/>
          <w:divBdr>
            <w:top w:val="none" w:sz="0" w:space="0" w:color="auto"/>
            <w:left w:val="none" w:sz="0" w:space="0" w:color="auto"/>
            <w:bottom w:val="none" w:sz="0" w:space="0" w:color="auto"/>
            <w:right w:val="none" w:sz="0" w:space="0" w:color="auto"/>
          </w:divBdr>
          <w:divsChild>
            <w:div w:id="730814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729022">
      <w:bodyDiv w:val="1"/>
      <w:marLeft w:val="0"/>
      <w:marRight w:val="0"/>
      <w:marTop w:val="0"/>
      <w:marBottom w:val="0"/>
      <w:divBdr>
        <w:top w:val="none" w:sz="0" w:space="0" w:color="auto"/>
        <w:left w:val="none" w:sz="0" w:space="0" w:color="auto"/>
        <w:bottom w:val="none" w:sz="0" w:space="0" w:color="auto"/>
        <w:right w:val="none" w:sz="0" w:space="0" w:color="auto"/>
      </w:divBdr>
      <w:divsChild>
        <w:div w:id="119224297">
          <w:marLeft w:val="0"/>
          <w:marRight w:val="0"/>
          <w:marTop w:val="0"/>
          <w:marBottom w:val="45"/>
          <w:divBdr>
            <w:top w:val="none" w:sz="0" w:space="0" w:color="auto"/>
            <w:left w:val="none" w:sz="0" w:space="0" w:color="auto"/>
            <w:bottom w:val="none" w:sz="0" w:space="0" w:color="auto"/>
            <w:right w:val="none" w:sz="0" w:space="0" w:color="auto"/>
          </w:divBdr>
        </w:div>
        <w:div w:id="1327709618">
          <w:marLeft w:val="0"/>
          <w:marRight w:val="0"/>
          <w:marTop w:val="0"/>
          <w:marBottom w:val="45"/>
          <w:divBdr>
            <w:top w:val="none" w:sz="0" w:space="0" w:color="auto"/>
            <w:left w:val="none" w:sz="0" w:space="0" w:color="auto"/>
            <w:bottom w:val="none" w:sz="0" w:space="0" w:color="auto"/>
            <w:right w:val="none" w:sz="0" w:space="0" w:color="auto"/>
          </w:divBdr>
        </w:div>
        <w:div w:id="1921057722">
          <w:marLeft w:val="0"/>
          <w:marRight w:val="0"/>
          <w:marTop w:val="0"/>
          <w:marBottom w:val="45"/>
          <w:divBdr>
            <w:top w:val="none" w:sz="0" w:space="0" w:color="auto"/>
            <w:left w:val="none" w:sz="0" w:space="0" w:color="auto"/>
            <w:bottom w:val="none" w:sz="0" w:space="0" w:color="auto"/>
            <w:right w:val="none" w:sz="0" w:space="0" w:color="auto"/>
          </w:divBdr>
        </w:div>
        <w:div w:id="1978947833">
          <w:marLeft w:val="0"/>
          <w:marRight w:val="0"/>
          <w:marTop w:val="0"/>
          <w:marBottom w:val="45"/>
          <w:divBdr>
            <w:top w:val="none" w:sz="0" w:space="0" w:color="auto"/>
            <w:left w:val="none" w:sz="0" w:space="0" w:color="auto"/>
            <w:bottom w:val="none" w:sz="0" w:space="0" w:color="auto"/>
            <w:right w:val="none" w:sz="0" w:space="0" w:color="auto"/>
          </w:divBdr>
        </w:div>
      </w:divsChild>
    </w:div>
    <w:div w:id="698702816">
      <w:bodyDiv w:val="1"/>
      <w:marLeft w:val="0"/>
      <w:marRight w:val="0"/>
      <w:marTop w:val="0"/>
      <w:marBottom w:val="0"/>
      <w:divBdr>
        <w:top w:val="none" w:sz="0" w:space="0" w:color="auto"/>
        <w:left w:val="none" w:sz="0" w:space="0" w:color="auto"/>
        <w:bottom w:val="none" w:sz="0" w:space="0" w:color="auto"/>
        <w:right w:val="none" w:sz="0" w:space="0" w:color="auto"/>
      </w:divBdr>
    </w:div>
    <w:div w:id="733816578">
      <w:bodyDiv w:val="1"/>
      <w:marLeft w:val="0"/>
      <w:marRight w:val="0"/>
      <w:marTop w:val="0"/>
      <w:marBottom w:val="0"/>
      <w:divBdr>
        <w:top w:val="none" w:sz="0" w:space="0" w:color="auto"/>
        <w:left w:val="none" w:sz="0" w:space="0" w:color="auto"/>
        <w:bottom w:val="none" w:sz="0" w:space="0" w:color="auto"/>
        <w:right w:val="none" w:sz="0" w:space="0" w:color="auto"/>
      </w:divBdr>
      <w:divsChild>
        <w:div w:id="312299036">
          <w:marLeft w:val="0"/>
          <w:marRight w:val="0"/>
          <w:marTop w:val="0"/>
          <w:marBottom w:val="0"/>
          <w:divBdr>
            <w:top w:val="none" w:sz="0" w:space="0" w:color="auto"/>
            <w:left w:val="none" w:sz="0" w:space="0" w:color="auto"/>
            <w:bottom w:val="none" w:sz="0" w:space="0" w:color="auto"/>
            <w:right w:val="none" w:sz="0" w:space="0" w:color="auto"/>
          </w:divBdr>
          <w:divsChild>
            <w:div w:id="92006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567863">
      <w:bodyDiv w:val="1"/>
      <w:marLeft w:val="0"/>
      <w:marRight w:val="0"/>
      <w:marTop w:val="0"/>
      <w:marBottom w:val="0"/>
      <w:divBdr>
        <w:top w:val="none" w:sz="0" w:space="0" w:color="auto"/>
        <w:left w:val="none" w:sz="0" w:space="0" w:color="auto"/>
        <w:bottom w:val="none" w:sz="0" w:space="0" w:color="auto"/>
        <w:right w:val="none" w:sz="0" w:space="0" w:color="auto"/>
      </w:divBdr>
      <w:divsChild>
        <w:div w:id="1278487396">
          <w:marLeft w:val="0"/>
          <w:marRight w:val="0"/>
          <w:marTop w:val="0"/>
          <w:marBottom w:val="0"/>
          <w:divBdr>
            <w:top w:val="none" w:sz="0" w:space="0" w:color="auto"/>
            <w:left w:val="none" w:sz="0" w:space="0" w:color="auto"/>
            <w:bottom w:val="none" w:sz="0" w:space="0" w:color="auto"/>
            <w:right w:val="none" w:sz="0" w:space="0" w:color="auto"/>
          </w:divBdr>
          <w:divsChild>
            <w:div w:id="24025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922143">
      <w:bodyDiv w:val="1"/>
      <w:marLeft w:val="0"/>
      <w:marRight w:val="0"/>
      <w:marTop w:val="0"/>
      <w:marBottom w:val="0"/>
      <w:divBdr>
        <w:top w:val="none" w:sz="0" w:space="0" w:color="auto"/>
        <w:left w:val="none" w:sz="0" w:space="0" w:color="auto"/>
        <w:bottom w:val="none" w:sz="0" w:space="0" w:color="auto"/>
        <w:right w:val="none" w:sz="0" w:space="0" w:color="auto"/>
      </w:divBdr>
    </w:div>
    <w:div w:id="885603214">
      <w:bodyDiv w:val="1"/>
      <w:marLeft w:val="0"/>
      <w:marRight w:val="0"/>
      <w:marTop w:val="0"/>
      <w:marBottom w:val="0"/>
      <w:divBdr>
        <w:top w:val="none" w:sz="0" w:space="0" w:color="auto"/>
        <w:left w:val="none" w:sz="0" w:space="0" w:color="auto"/>
        <w:bottom w:val="none" w:sz="0" w:space="0" w:color="auto"/>
        <w:right w:val="none" w:sz="0" w:space="0" w:color="auto"/>
      </w:divBdr>
    </w:div>
    <w:div w:id="905188367">
      <w:bodyDiv w:val="1"/>
      <w:marLeft w:val="0"/>
      <w:marRight w:val="0"/>
      <w:marTop w:val="0"/>
      <w:marBottom w:val="0"/>
      <w:divBdr>
        <w:top w:val="none" w:sz="0" w:space="0" w:color="auto"/>
        <w:left w:val="none" w:sz="0" w:space="0" w:color="auto"/>
        <w:bottom w:val="none" w:sz="0" w:space="0" w:color="auto"/>
        <w:right w:val="none" w:sz="0" w:space="0" w:color="auto"/>
      </w:divBdr>
    </w:div>
    <w:div w:id="914900389">
      <w:bodyDiv w:val="1"/>
      <w:marLeft w:val="0"/>
      <w:marRight w:val="0"/>
      <w:marTop w:val="0"/>
      <w:marBottom w:val="0"/>
      <w:divBdr>
        <w:top w:val="none" w:sz="0" w:space="0" w:color="auto"/>
        <w:left w:val="none" w:sz="0" w:space="0" w:color="auto"/>
        <w:bottom w:val="none" w:sz="0" w:space="0" w:color="auto"/>
        <w:right w:val="none" w:sz="0" w:space="0" w:color="auto"/>
      </w:divBdr>
    </w:div>
    <w:div w:id="990985017">
      <w:bodyDiv w:val="1"/>
      <w:marLeft w:val="0"/>
      <w:marRight w:val="0"/>
      <w:marTop w:val="0"/>
      <w:marBottom w:val="0"/>
      <w:divBdr>
        <w:top w:val="none" w:sz="0" w:space="0" w:color="auto"/>
        <w:left w:val="none" w:sz="0" w:space="0" w:color="auto"/>
        <w:bottom w:val="none" w:sz="0" w:space="0" w:color="auto"/>
        <w:right w:val="none" w:sz="0" w:space="0" w:color="auto"/>
      </w:divBdr>
    </w:div>
    <w:div w:id="1046678844">
      <w:bodyDiv w:val="1"/>
      <w:marLeft w:val="0"/>
      <w:marRight w:val="0"/>
      <w:marTop w:val="0"/>
      <w:marBottom w:val="0"/>
      <w:divBdr>
        <w:top w:val="none" w:sz="0" w:space="0" w:color="auto"/>
        <w:left w:val="none" w:sz="0" w:space="0" w:color="auto"/>
        <w:bottom w:val="none" w:sz="0" w:space="0" w:color="auto"/>
        <w:right w:val="none" w:sz="0" w:space="0" w:color="auto"/>
      </w:divBdr>
      <w:divsChild>
        <w:div w:id="1935169160">
          <w:marLeft w:val="0"/>
          <w:marRight w:val="0"/>
          <w:marTop w:val="0"/>
          <w:marBottom w:val="0"/>
          <w:divBdr>
            <w:top w:val="none" w:sz="0" w:space="0" w:color="auto"/>
            <w:left w:val="none" w:sz="0" w:space="0" w:color="auto"/>
            <w:bottom w:val="none" w:sz="0" w:space="0" w:color="auto"/>
            <w:right w:val="none" w:sz="0" w:space="0" w:color="auto"/>
          </w:divBdr>
          <w:divsChild>
            <w:div w:id="12913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188975">
      <w:bodyDiv w:val="1"/>
      <w:marLeft w:val="0"/>
      <w:marRight w:val="0"/>
      <w:marTop w:val="0"/>
      <w:marBottom w:val="0"/>
      <w:divBdr>
        <w:top w:val="none" w:sz="0" w:space="0" w:color="auto"/>
        <w:left w:val="none" w:sz="0" w:space="0" w:color="auto"/>
        <w:bottom w:val="none" w:sz="0" w:space="0" w:color="auto"/>
        <w:right w:val="none" w:sz="0" w:space="0" w:color="auto"/>
      </w:divBdr>
    </w:div>
    <w:div w:id="1069619207">
      <w:bodyDiv w:val="1"/>
      <w:marLeft w:val="0"/>
      <w:marRight w:val="0"/>
      <w:marTop w:val="0"/>
      <w:marBottom w:val="0"/>
      <w:divBdr>
        <w:top w:val="none" w:sz="0" w:space="0" w:color="auto"/>
        <w:left w:val="none" w:sz="0" w:space="0" w:color="auto"/>
        <w:bottom w:val="none" w:sz="0" w:space="0" w:color="auto"/>
        <w:right w:val="none" w:sz="0" w:space="0" w:color="auto"/>
      </w:divBdr>
    </w:div>
    <w:div w:id="1079594669">
      <w:bodyDiv w:val="1"/>
      <w:marLeft w:val="0"/>
      <w:marRight w:val="0"/>
      <w:marTop w:val="0"/>
      <w:marBottom w:val="0"/>
      <w:divBdr>
        <w:top w:val="none" w:sz="0" w:space="0" w:color="auto"/>
        <w:left w:val="none" w:sz="0" w:space="0" w:color="auto"/>
        <w:bottom w:val="none" w:sz="0" w:space="0" w:color="auto"/>
        <w:right w:val="none" w:sz="0" w:space="0" w:color="auto"/>
      </w:divBdr>
    </w:div>
    <w:div w:id="1108503571">
      <w:bodyDiv w:val="1"/>
      <w:marLeft w:val="0"/>
      <w:marRight w:val="0"/>
      <w:marTop w:val="0"/>
      <w:marBottom w:val="0"/>
      <w:divBdr>
        <w:top w:val="none" w:sz="0" w:space="0" w:color="auto"/>
        <w:left w:val="none" w:sz="0" w:space="0" w:color="auto"/>
        <w:bottom w:val="none" w:sz="0" w:space="0" w:color="auto"/>
        <w:right w:val="none" w:sz="0" w:space="0" w:color="auto"/>
      </w:divBdr>
    </w:div>
    <w:div w:id="1125277235">
      <w:bodyDiv w:val="1"/>
      <w:marLeft w:val="0"/>
      <w:marRight w:val="0"/>
      <w:marTop w:val="0"/>
      <w:marBottom w:val="0"/>
      <w:divBdr>
        <w:top w:val="none" w:sz="0" w:space="0" w:color="auto"/>
        <w:left w:val="none" w:sz="0" w:space="0" w:color="auto"/>
        <w:bottom w:val="none" w:sz="0" w:space="0" w:color="auto"/>
        <w:right w:val="none" w:sz="0" w:space="0" w:color="auto"/>
      </w:divBdr>
    </w:div>
    <w:div w:id="1142967578">
      <w:bodyDiv w:val="1"/>
      <w:marLeft w:val="0"/>
      <w:marRight w:val="0"/>
      <w:marTop w:val="0"/>
      <w:marBottom w:val="0"/>
      <w:divBdr>
        <w:top w:val="none" w:sz="0" w:space="0" w:color="auto"/>
        <w:left w:val="none" w:sz="0" w:space="0" w:color="auto"/>
        <w:bottom w:val="none" w:sz="0" w:space="0" w:color="auto"/>
        <w:right w:val="none" w:sz="0" w:space="0" w:color="auto"/>
      </w:divBdr>
    </w:div>
    <w:div w:id="1161461343">
      <w:bodyDiv w:val="1"/>
      <w:marLeft w:val="0"/>
      <w:marRight w:val="0"/>
      <w:marTop w:val="0"/>
      <w:marBottom w:val="0"/>
      <w:divBdr>
        <w:top w:val="none" w:sz="0" w:space="0" w:color="auto"/>
        <w:left w:val="none" w:sz="0" w:space="0" w:color="auto"/>
        <w:bottom w:val="none" w:sz="0" w:space="0" w:color="auto"/>
        <w:right w:val="none" w:sz="0" w:space="0" w:color="auto"/>
      </w:divBdr>
    </w:div>
    <w:div w:id="1167209372">
      <w:bodyDiv w:val="1"/>
      <w:marLeft w:val="0"/>
      <w:marRight w:val="0"/>
      <w:marTop w:val="0"/>
      <w:marBottom w:val="0"/>
      <w:divBdr>
        <w:top w:val="none" w:sz="0" w:space="0" w:color="auto"/>
        <w:left w:val="none" w:sz="0" w:space="0" w:color="auto"/>
        <w:bottom w:val="none" w:sz="0" w:space="0" w:color="auto"/>
        <w:right w:val="none" w:sz="0" w:space="0" w:color="auto"/>
      </w:divBdr>
    </w:div>
    <w:div w:id="1167481352">
      <w:bodyDiv w:val="1"/>
      <w:marLeft w:val="0"/>
      <w:marRight w:val="0"/>
      <w:marTop w:val="0"/>
      <w:marBottom w:val="0"/>
      <w:divBdr>
        <w:top w:val="none" w:sz="0" w:space="0" w:color="auto"/>
        <w:left w:val="none" w:sz="0" w:space="0" w:color="auto"/>
        <w:bottom w:val="none" w:sz="0" w:space="0" w:color="auto"/>
        <w:right w:val="none" w:sz="0" w:space="0" w:color="auto"/>
      </w:divBdr>
    </w:div>
    <w:div w:id="1193229454">
      <w:bodyDiv w:val="1"/>
      <w:marLeft w:val="0"/>
      <w:marRight w:val="0"/>
      <w:marTop w:val="0"/>
      <w:marBottom w:val="0"/>
      <w:divBdr>
        <w:top w:val="none" w:sz="0" w:space="0" w:color="auto"/>
        <w:left w:val="none" w:sz="0" w:space="0" w:color="auto"/>
        <w:bottom w:val="none" w:sz="0" w:space="0" w:color="auto"/>
        <w:right w:val="none" w:sz="0" w:space="0" w:color="auto"/>
      </w:divBdr>
    </w:div>
    <w:div w:id="1194078141">
      <w:bodyDiv w:val="1"/>
      <w:marLeft w:val="0"/>
      <w:marRight w:val="0"/>
      <w:marTop w:val="0"/>
      <w:marBottom w:val="0"/>
      <w:divBdr>
        <w:top w:val="none" w:sz="0" w:space="0" w:color="auto"/>
        <w:left w:val="none" w:sz="0" w:space="0" w:color="auto"/>
        <w:bottom w:val="none" w:sz="0" w:space="0" w:color="auto"/>
        <w:right w:val="none" w:sz="0" w:space="0" w:color="auto"/>
      </w:divBdr>
    </w:div>
    <w:div w:id="1309745472">
      <w:bodyDiv w:val="1"/>
      <w:marLeft w:val="0"/>
      <w:marRight w:val="0"/>
      <w:marTop w:val="0"/>
      <w:marBottom w:val="0"/>
      <w:divBdr>
        <w:top w:val="none" w:sz="0" w:space="0" w:color="auto"/>
        <w:left w:val="none" w:sz="0" w:space="0" w:color="auto"/>
        <w:bottom w:val="none" w:sz="0" w:space="0" w:color="auto"/>
        <w:right w:val="none" w:sz="0" w:space="0" w:color="auto"/>
      </w:divBdr>
      <w:divsChild>
        <w:div w:id="1870608627">
          <w:marLeft w:val="0"/>
          <w:marRight w:val="0"/>
          <w:marTop w:val="0"/>
          <w:marBottom w:val="0"/>
          <w:divBdr>
            <w:top w:val="none" w:sz="0" w:space="0" w:color="auto"/>
            <w:left w:val="none" w:sz="0" w:space="0" w:color="auto"/>
            <w:bottom w:val="none" w:sz="0" w:space="0" w:color="auto"/>
            <w:right w:val="none" w:sz="0" w:space="0" w:color="auto"/>
          </w:divBdr>
          <w:divsChild>
            <w:div w:id="5998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07928">
      <w:bodyDiv w:val="1"/>
      <w:marLeft w:val="0"/>
      <w:marRight w:val="0"/>
      <w:marTop w:val="0"/>
      <w:marBottom w:val="0"/>
      <w:divBdr>
        <w:top w:val="none" w:sz="0" w:space="0" w:color="auto"/>
        <w:left w:val="none" w:sz="0" w:space="0" w:color="auto"/>
        <w:bottom w:val="none" w:sz="0" w:space="0" w:color="auto"/>
        <w:right w:val="none" w:sz="0" w:space="0" w:color="auto"/>
      </w:divBdr>
    </w:div>
    <w:div w:id="1430347297">
      <w:bodyDiv w:val="1"/>
      <w:marLeft w:val="0"/>
      <w:marRight w:val="0"/>
      <w:marTop w:val="0"/>
      <w:marBottom w:val="0"/>
      <w:divBdr>
        <w:top w:val="none" w:sz="0" w:space="0" w:color="auto"/>
        <w:left w:val="none" w:sz="0" w:space="0" w:color="auto"/>
        <w:bottom w:val="none" w:sz="0" w:space="0" w:color="auto"/>
        <w:right w:val="none" w:sz="0" w:space="0" w:color="auto"/>
      </w:divBdr>
    </w:div>
    <w:div w:id="1455716194">
      <w:bodyDiv w:val="1"/>
      <w:marLeft w:val="0"/>
      <w:marRight w:val="0"/>
      <w:marTop w:val="0"/>
      <w:marBottom w:val="0"/>
      <w:divBdr>
        <w:top w:val="none" w:sz="0" w:space="0" w:color="auto"/>
        <w:left w:val="none" w:sz="0" w:space="0" w:color="auto"/>
        <w:bottom w:val="none" w:sz="0" w:space="0" w:color="auto"/>
        <w:right w:val="none" w:sz="0" w:space="0" w:color="auto"/>
      </w:divBdr>
      <w:divsChild>
        <w:div w:id="75176157">
          <w:marLeft w:val="0"/>
          <w:marRight w:val="0"/>
          <w:marTop w:val="0"/>
          <w:marBottom w:val="0"/>
          <w:divBdr>
            <w:top w:val="none" w:sz="0" w:space="0" w:color="auto"/>
            <w:left w:val="none" w:sz="0" w:space="0" w:color="auto"/>
            <w:bottom w:val="none" w:sz="0" w:space="0" w:color="auto"/>
            <w:right w:val="none" w:sz="0" w:space="0" w:color="auto"/>
          </w:divBdr>
          <w:divsChild>
            <w:div w:id="2014071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735548">
      <w:bodyDiv w:val="1"/>
      <w:marLeft w:val="0"/>
      <w:marRight w:val="0"/>
      <w:marTop w:val="0"/>
      <w:marBottom w:val="0"/>
      <w:divBdr>
        <w:top w:val="none" w:sz="0" w:space="0" w:color="auto"/>
        <w:left w:val="none" w:sz="0" w:space="0" w:color="auto"/>
        <w:bottom w:val="none" w:sz="0" w:space="0" w:color="auto"/>
        <w:right w:val="none" w:sz="0" w:space="0" w:color="auto"/>
      </w:divBdr>
    </w:div>
    <w:div w:id="1562907469">
      <w:bodyDiv w:val="1"/>
      <w:marLeft w:val="0"/>
      <w:marRight w:val="0"/>
      <w:marTop w:val="0"/>
      <w:marBottom w:val="0"/>
      <w:divBdr>
        <w:top w:val="none" w:sz="0" w:space="0" w:color="auto"/>
        <w:left w:val="none" w:sz="0" w:space="0" w:color="auto"/>
        <w:bottom w:val="none" w:sz="0" w:space="0" w:color="auto"/>
        <w:right w:val="none" w:sz="0" w:space="0" w:color="auto"/>
      </w:divBdr>
    </w:div>
    <w:div w:id="1639262712">
      <w:bodyDiv w:val="1"/>
      <w:marLeft w:val="0"/>
      <w:marRight w:val="0"/>
      <w:marTop w:val="0"/>
      <w:marBottom w:val="0"/>
      <w:divBdr>
        <w:top w:val="none" w:sz="0" w:space="0" w:color="auto"/>
        <w:left w:val="none" w:sz="0" w:space="0" w:color="auto"/>
        <w:bottom w:val="none" w:sz="0" w:space="0" w:color="auto"/>
        <w:right w:val="none" w:sz="0" w:space="0" w:color="auto"/>
      </w:divBdr>
    </w:div>
    <w:div w:id="1655451846">
      <w:bodyDiv w:val="1"/>
      <w:marLeft w:val="0"/>
      <w:marRight w:val="0"/>
      <w:marTop w:val="0"/>
      <w:marBottom w:val="0"/>
      <w:divBdr>
        <w:top w:val="none" w:sz="0" w:space="0" w:color="auto"/>
        <w:left w:val="none" w:sz="0" w:space="0" w:color="auto"/>
        <w:bottom w:val="none" w:sz="0" w:space="0" w:color="auto"/>
        <w:right w:val="none" w:sz="0" w:space="0" w:color="auto"/>
      </w:divBdr>
    </w:div>
    <w:div w:id="1669672939">
      <w:bodyDiv w:val="1"/>
      <w:marLeft w:val="0"/>
      <w:marRight w:val="0"/>
      <w:marTop w:val="0"/>
      <w:marBottom w:val="0"/>
      <w:divBdr>
        <w:top w:val="none" w:sz="0" w:space="0" w:color="auto"/>
        <w:left w:val="none" w:sz="0" w:space="0" w:color="auto"/>
        <w:bottom w:val="none" w:sz="0" w:space="0" w:color="auto"/>
        <w:right w:val="none" w:sz="0" w:space="0" w:color="auto"/>
      </w:divBdr>
    </w:div>
    <w:div w:id="1785804311">
      <w:bodyDiv w:val="1"/>
      <w:marLeft w:val="0"/>
      <w:marRight w:val="0"/>
      <w:marTop w:val="0"/>
      <w:marBottom w:val="0"/>
      <w:divBdr>
        <w:top w:val="none" w:sz="0" w:space="0" w:color="auto"/>
        <w:left w:val="none" w:sz="0" w:space="0" w:color="auto"/>
        <w:bottom w:val="none" w:sz="0" w:space="0" w:color="auto"/>
        <w:right w:val="none" w:sz="0" w:space="0" w:color="auto"/>
      </w:divBdr>
      <w:divsChild>
        <w:div w:id="1445147204">
          <w:marLeft w:val="0"/>
          <w:marRight w:val="0"/>
          <w:marTop w:val="0"/>
          <w:marBottom w:val="0"/>
          <w:divBdr>
            <w:top w:val="none" w:sz="0" w:space="0" w:color="auto"/>
            <w:left w:val="none" w:sz="0" w:space="0" w:color="auto"/>
            <w:bottom w:val="none" w:sz="0" w:space="0" w:color="auto"/>
            <w:right w:val="none" w:sz="0" w:space="0" w:color="auto"/>
          </w:divBdr>
          <w:divsChild>
            <w:div w:id="490098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215701">
      <w:bodyDiv w:val="1"/>
      <w:marLeft w:val="0"/>
      <w:marRight w:val="0"/>
      <w:marTop w:val="0"/>
      <w:marBottom w:val="0"/>
      <w:divBdr>
        <w:top w:val="none" w:sz="0" w:space="0" w:color="auto"/>
        <w:left w:val="none" w:sz="0" w:space="0" w:color="auto"/>
        <w:bottom w:val="none" w:sz="0" w:space="0" w:color="auto"/>
        <w:right w:val="none" w:sz="0" w:space="0" w:color="auto"/>
      </w:divBdr>
      <w:divsChild>
        <w:div w:id="2082750752">
          <w:marLeft w:val="0"/>
          <w:marRight w:val="0"/>
          <w:marTop w:val="0"/>
          <w:marBottom w:val="0"/>
          <w:divBdr>
            <w:top w:val="none" w:sz="0" w:space="0" w:color="auto"/>
            <w:left w:val="none" w:sz="0" w:space="0" w:color="auto"/>
            <w:bottom w:val="none" w:sz="0" w:space="0" w:color="auto"/>
            <w:right w:val="none" w:sz="0" w:space="0" w:color="auto"/>
          </w:divBdr>
          <w:divsChild>
            <w:div w:id="71397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817950">
      <w:bodyDiv w:val="1"/>
      <w:marLeft w:val="0"/>
      <w:marRight w:val="0"/>
      <w:marTop w:val="0"/>
      <w:marBottom w:val="0"/>
      <w:divBdr>
        <w:top w:val="none" w:sz="0" w:space="0" w:color="auto"/>
        <w:left w:val="none" w:sz="0" w:space="0" w:color="auto"/>
        <w:bottom w:val="none" w:sz="0" w:space="0" w:color="auto"/>
        <w:right w:val="none" w:sz="0" w:space="0" w:color="auto"/>
      </w:divBdr>
    </w:div>
    <w:div w:id="2022513715">
      <w:bodyDiv w:val="1"/>
      <w:marLeft w:val="0"/>
      <w:marRight w:val="0"/>
      <w:marTop w:val="0"/>
      <w:marBottom w:val="0"/>
      <w:divBdr>
        <w:top w:val="none" w:sz="0" w:space="0" w:color="auto"/>
        <w:left w:val="none" w:sz="0" w:space="0" w:color="auto"/>
        <w:bottom w:val="none" w:sz="0" w:space="0" w:color="auto"/>
        <w:right w:val="none" w:sz="0" w:space="0" w:color="auto"/>
      </w:divBdr>
    </w:div>
    <w:div w:id="2068143157">
      <w:bodyDiv w:val="1"/>
      <w:marLeft w:val="0"/>
      <w:marRight w:val="0"/>
      <w:marTop w:val="0"/>
      <w:marBottom w:val="0"/>
      <w:divBdr>
        <w:top w:val="none" w:sz="0" w:space="0" w:color="auto"/>
        <w:left w:val="none" w:sz="0" w:space="0" w:color="auto"/>
        <w:bottom w:val="none" w:sz="0" w:space="0" w:color="auto"/>
        <w:right w:val="none" w:sz="0" w:space="0" w:color="auto"/>
      </w:divBdr>
    </w:div>
    <w:div w:id="2088650423">
      <w:bodyDiv w:val="1"/>
      <w:marLeft w:val="0"/>
      <w:marRight w:val="0"/>
      <w:marTop w:val="0"/>
      <w:marBottom w:val="0"/>
      <w:divBdr>
        <w:top w:val="none" w:sz="0" w:space="0" w:color="auto"/>
        <w:left w:val="none" w:sz="0" w:space="0" w:color="auto"/>
        <w:bottom w:val="none" w:sz="0" w:space="0" w:color="auto"/>
        <w:right w:val="none" w:sz="0" w:space="0" w:color="auto"/>
      </w:divBdr>
      <w:divsChild>
        <w:div w:id="588662679">
          <w:marLeft w:val="0"/>
          <w:marRight w:val="0"/>
          <w:marTop w:val="0"/>
          <w:marBottom w:val="45"/>
          <w:divBdr>
            <w:top w:val="none" w:sz="0" w:space="0" w:color="auto"/>
            <w:left w:val="none" w:sz="0" w:space="0" w:color="auto"/>
            <w:bottom w:val="none" w:sz="0" w:space="0" w:color="auto"/>
            <w:right w:val="none" w:sz="0" w:space="0" w:color="auto"/>
          </w:divBdr>
        </w:div>
        <w:div w:id="726732702">
          <w:marLeft w:val="0"/>
          <w:marRight w:val="0"/>
          <w:marTop w:val="0"/>
          <w:marBottom w:val="45"/>
          <w:divBdr>
            <w:top w:val="none" w:sz="0" w:space="0" w:color="auto"/>
            <w:left w:val="none" w:sz="0" w:space="0" w:color="auto"/>
            <w:bottom w:val="none" w:sz="0" w:space="0" w:color="auto"/>
            <w:right w:val="none" w:sz="0" w:space="0" w:color="auto"/>
          </w:divBdr>
        </w:div>
        <w:div w:id="1785034938">
          <w:marLeft w:val="0"/>
          <w:marRight w:val="0"/>
          <w:marTop w:val="0"/>
          <w:marBottom w:val="45"/>
          <w:divBdr>
            <w:top w:val="none" w:sz="0" w:space="0" w:color="auto"/>
            <w:left w:val="none" w:sz="0" w:space="0" w:color="auto"/>
            <w:bottom w:val="none" w:sz="0" w:space="0" w:color="auto"/>
            <w:right w:val="none" w:sz="0" w:space="0" w:color="auto"/>
          </w:divBdr>
        </w:div>
        <w:div w:id="2038967318">
          <w:marLeft w:val="0"/>
          <w:marRight w:val="0"/>
          <w:marTop w:val="0"/>
          <w:marBottom w:val="45"/>
          <w:divBdr>
            <w:top w:val="none" w:sz="0" w:space="0" w:color="auto"/>
            <w:left w:val="none" w:sz="0" w:space="0" w:color="auto"/>
            <w:bottom w:val="none" w:sz="0" w:space="0" w:color="auto"/>
            <w:right w:val="none" w:sz="0" w:space="0" w:color="auto"/>
          </w:divBdr>
        </w:div>
      </w:divsChild>
    </w:div>
    <w:div w:id="2099935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hgvs.org/mutnom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www.ncbi.nlm.nih.gov/pubmed/28265006" TargetMode="External"/><Relationship Id="rId14" Type="http://schemas.openxmlformats.org/officeDocument/2006/relationships/hyperlink" Target="https://www.ncbi.nlm.nih.gov/pubmed/34937915" TargetMode="External"/><Relationship Id="rId15" Type="http://schemas.openxmlformats.org/officeDocument/2006/relationships/hyperlink" Target="https://www.ncbi.nlm.nih.gov/pubmed/36008722" TargetMode="External"/><Relationship Id="rId16" Type="http://schemas.openxmlformats.org/officeDocument/2006/relationships/hyperlink" Target="https://www.ncbi.nlm.nih.gov/pubmed/33476593" TargetMode="External"/><Relationship Id="rId17" Type="http://schemas.openxmlformats.org/officeDocument/2006/relationships/hyperlink" Target="https://www.ncbi.nlm.nih.gov/pubmed/34607285" TargetMode="External"/><Relationship Id="rId18" Type="http://schemas.openxmlformats.org/officeDocument/2006/relationships/hyperlink" Target="https://www.ncbi.nlm.nih.gov/pubmed/27042127" TargetMode="External"/><Relationship Id="rId19" Type="http://schemas.openxmlformats.org/officeDocument/2006/relationships/hyperlink" Target="https://www.ncbi.nlm.nih.gov/pubmed/23444951" TargetMode="External"/><Relationship Id="rId20" Type="http://schemas.openxmlformats.org/officeDocument/2006/relationships/hyperlink" Target="https://www.ncbi.nlm.nih.gov/pubmed/36327426" TargetMode="External"/><Relationship Id="rId21" Type="http://schemas.openxmlformats.org/officeDocument/2006/relationships/hyperlink" Target="https://www.ncbi.nlm.nih.gov/pubmed/33645367" TargetMode="External"/><Relationship Id="rId22" Type="http://schemas.openxmlformats.org/officeDocument/2006/relationships/hyperlink" Target="https://www.ncbi.nlm.nih.gov/pubmed/34731446" TargetMode="External"/><Relationship Id="rId23" Type="http://schemas.openxmlformats.org/officeDocument/2006/relationships/hyperlink" Target="https://www.ncbi.nlm.nih.gov/pubmed/28878676" TargetMode="External"/><Relationship Id="rId24" Type="http://schemas.openxmlformats.org/officeDocument/2006/relationships/hyperlink" Target="https://www.ncbi.nlm.nih.gov/pubmed/27979383" TargetMode="External"/><Relationship Id="rId25" Type="http://schemas.openxmlformats.org/officeDocument/2006/relationships/hyperlink" Target="https://www.ncbi.nlm.nih.gov/pubmed/28885881" TargetMode="External"/><Relationship Id="rId26" Type="http://schemas.openxmlformats.org/officeDocument/2006/relationships/hyperlink" Target="https://www.ncbi.nlm.nih.gov/pubmed/30280658" TargetMode="External"/><Relationship Id="rId27" Type="http://schemas.openxmlformats.org/officeDocument/2006/relationships/hyperlink" Target="https://www.ncbi.nlm.nih.gov/pubmed/32209338" TargetMode="External"/><Relationship Id="rId28" Type="http://schemas.openxmlformats.org/officeDocument/2006/relationships/hyperlink" Target="https://www.ncbi.nlm.nih.gov/pubmed/33583206" TargetMode="External"/><Relationship Id="rId29" Type="http://schemas.openxmlformats.org/officeDocument/2006/relationships/hyperlink" Target="https://www.ncbi.nlm.nih.gov/pubmed/35403841" TargetMode="External"/><Relationship Id="rId30" Type="http://schemas.openxmlformats.org/officeDocument/2006/relationships/hyperlink" Target="https://www.ncbi.nlm.nih.gov/pubmed/26028407" TargetMode="External"/><Relationship Id="rId31" Type="http://schemas.openxmlformats.org/officeDocument/2006/relationships/hyperlink" Target="https://www.ncbi.nlm.nih.gov/pubmed/33449799" TargetMode="External"/><Relationship Id="rId32" Type="http://schemas.openxmlformats.org/officeDocument/2006/relationships/hyperlink" Target="https://www.ncbi.nlm.nih.gov/pubmed/26412456" TargetMode="External"/><Relationship Id="rId33" Type="http://schemas.openxmlformats.org/officeDocument/2006/relationships/hyperlink" Target="https://www.ncbi.nlm.nih.gov/pubmed/29023213" TargetMode="External"/><Relationship Id="rId34" Type="http://schemas.openxmlformats.org/officeDocument/2006/relationships/hyperlink" Target="https://www.ncbi.nlm.nih.gov/pubmed/23718298" TargetMode="External"/><Relationship Id="rId35" Type="http://schemas.openxmlformats.org/officeDocument/2006/relationships/hyperlink" Target="https://www.ncbi.nlm.nih.gov/pubmed/30314524" TargetMode="External"/><Relationship Id="rId36" Type="http://schemas.openxmlformats.org/officeDocument/2006/relationships/hyperlink" Target="https://www.ncbi.nlm.nih.gov/pubmed/27306885" TargetMode="External"/><Relationship Id="rId37" Type="http://schemas.openxmlformats.org/officeDocument/2006/relationships/hyperlink" Target="https://www.ncbi.nlm.nih.gov/pubmed/29191593" TargetMode="External"/><Relationship Id="rId38" Type="http://schemas.openxmlformats.org/officeDocument/2006/relationships/hyperlink" Target="https://www.ncbi.nlm.nih.gov/pubmed/24933332" TargetMode="External"/><Relationship Id="rId39" Type="http://schemas.openxmlformats.org/officeDocument/2006/relationships/hyperlink" Target="https://www.ncbi.nlm.nih.gov/pubmed/23419196" TargetMode="External"/><Relationship Id="rId40" Type="http://schemas.openxmlformats.org/officeDocument/2006/relationships/hyperlink" Target="https://www.ncbi.nlm.nih.gov/pubmed/20688807" TargetMode="External"/><Relationship Id="rId41" Type="http://schemas.openxmlformats.org/officeDocument/2006/relationships/hyperlink" Target="https://www.ncbi.nlm.nih.gov/pubmed/32335505" TargetMode="External"/><Relationship Id="rId42" Type="http://schemas.openxmlformats.org/officeDocument/2006/relationships/hyperlink" Target="https://www.ncbi.nlm.nih.gov/pubmed/17167137" TargetMode="External"/><Relationship Id="rId43" Type="http://schemas.openxmlformats.org/officeDocument/2006/relationships/hyperlink" Target="https://www.ncbi.nlm.nih.gov/pubmed/17602060" TargetMode="External"/><Relationship Id="rId44" Type="http://schemas.openxmlformats.org/officeDocument/2006/relationships/hyperlink" Target="https://www.ncbi.nlm.nih.gov/pubmed/33725344" TargetMode="External"/><Relationship Id="rId45" Type="http://schemas.openxmlformats.org/officeDocument/2006/relationships/hyperlink" Target="https://www.ncbi.nlm.nih.gov/pubmed/20150572" TargetMode="External"/><Relationship Id="rId46" Type="http://schemas.openxmlformats.org/officeDocument/2006/relationships/hyperlink" Target="https://www.ncbi.nlm.nih.gov/pubmed/30392436" TargetMode="External"/><Relationship Id="rId47" Type="http://schemas.openxmlformats.org/officeDocument/2006/relationships/hyperlink" Target="https://www.ncbi.nlm.nih.gov/pubmed/29902295" TargetMode="External"/><Relationship Id="rId48" Type="http://schemas.openxmlformats.org/officeDocument/2006/relationships/hyperlink" Target="https://www.ncbi.nlm.nih.gov/pubmed/26156651" TargetMode="External"/><Relationship Id="rId49" Type="http://schemas.openxmlformats.org/officeDocument/2006/relationships/hyperlink" Target="https://www.ncbi.nlm.nih.gov/pubmed/33061419" TargetMode="External"/><Relationship Id="rId50" Type="http://schemas.openxmlformats.org/officeDocument/2006/relationships/hyperlink" Target="https://www.ncbi.nlm.nih.gov/pubmed/31432705" TargetMode="External"/><Relationship Id="rId51" Type="http://schemas.openxmlformats.org/officeDocument/2006/relationships/hyperlink" Target="https://www.ncbi.nlm.nih.gov/pubmed/30280635" TargetMode="External"/><Relationship Id="rId52" Type="http://schemas.openxmlformats.org/officeDocument/2006/relationships/hyperlink" Target="https://www.ncbi.nlm.nih.gov/pubmed/31751163" TargetMode="External"/><Relationship Id="rId53" Type="http://schemas.openxmlformats.org/officeDocument/2006/relationships/hyperlink" Target="https://www.ncbi.nlm.nih.gov/pubmed/18275813" TargetMode="External"/><Relationship Id="rId54" Type="http://schemas.openxmlformats.org/officeDocument/2006/relationships/hyperlink" Target="https://www.ncbi.nlm.nih.gov/pubmed/30025476" TargetMode="External"/><Relationship Id="rId55" Type="http://schemas.openxmlformats.org/officeDocument/2006/relationships/hyperlink" Target="https://www.ncbi.nlm.nih.gov/pubmed/26045340" TargetMode="External"/><Relationship Id="rId56" Type="http://schemas.openxmlformats.org/officeDocument/2006/relationships/hyperlink" Target="https://www.ncbi.nlm.nih.gov/pubmed/26980471" TargetMode="External"/><Relationship Id="rId57" Type="http://schemas.openxmlformats.org/officeDocument/2006/relationships/hyperlink" Target="https://www.ncbi.nlm.nih.gov/pubmed/26301799" TargetMode="External"/><Relationship Id="rId58" Type="http://schemas.openxmlformats.org/officeDocument/2006/relationships/hyperlink" Target="https://www.ncbi.nlm.nih.gov/pubmed/15035987" TargetMode="External"/><Relationship Id="rId59" Type="http://schemas.openxmlformats.org/officeDocument/2006/relationships/hyperlink" Target="https://www.ncbi.nlm.nih.gov/pubmed/15488754" TargetMode="External"/><Relationship Id="rId60" Type="http://schemas.openxmlformats.org/officeDocument/2006/relationships/hyperlink" Target="https://www.ncbi.nlm.nih.gov/pubmed/25435214" TargetMode="External"/><Relationship Id="rId61" Type="http://schemas.openxmlformats.org/officeDocument/2006/relationships/hyperlink" Target="https://www.ncbi.nlm.nih.gov/pubmed/30899313" TargetMode="External"/><Relationship Id="rId62" Type="http://schemas.openxmlformats.org/officeDocument/2006/relationships/hyperlink" Target="https://www.ncbi.nlm.nih.gov/pubmed/29540830" TargetMode="External"/><Relationship Id="rId63" Type="http://schemas.openxmlformats.org/officeDocument/2006/relationships/hyperlink" Target="https://www.ncbi.nlm.nih.gov/pubmed/29438093" TargetMode="External"/><Relationship Id="rId64" Type="http://schemas.openxmlformats.org/officeDocument/2006/relationships/hyperlink" Target="https://www.ncbi.nlm.nih.gov/pubmed/12068308" TargetMode="External"/><Relationship Id="rId65" Type="http://schemas.openxmlformats.org/officeDocument/2006/relationships/hyperlink" Target="https://www.ncbi.nlm.nih.gov/pubmed/23833300" TargetMode="External"/><Relationship Id="rId66" Type="http://schemas.openxmlformats.org/officeDocument/2006/relationships/hyperlink" Target="https://www.ncbi.nlm.nih.gov/pubmed/24552757" TargetMode="External"/><Relationship Id="rId67" Type="http://schemas.openxmlformats.org/officeDocument/2006/relationships/hyperlink" Target="https://www.ncbi.nlm.nih.gov/pubmed/25273224" TargetMode="External"/><Relationship Id="rId68" Type="http://schemas.openxmlformats.org/officeDocument/2006/relationships/hyperlink" Target="https://www.ncbi.nlm.nih.gov/pubmed/30464690" TargetMode="External"/><Relationship Id="rId69" Type="http://schemas.openxmlformats.org/officeDocument/2006/relationships/hyperlink" Target="https://www.ncbi.nlm.nih.gov/pubmed/21825258" TargetMode="External"/><Relationship Id="rId70" Type="http://schemas.openxmlformats.org/officeDocument/2006/relationships/hyperlink" Target="https://www.ncbi.nlm.nih.gov/pubmed/20496265" TargetMode="External"/><Relationship Id="rId71" Type="http://schemas.openxmlformats.org/officeDocument/2006/relationships/hyperlink" Target="https://www.ncbi.nlm.nih.gov/pubmed/21639808" TargetMode="External"/><Relationship Id="rId72" Type="http://schemas.openxmlformats.org/officeDocument/2006/relationships/hyperlink" Target="https://www.ncbi.nlm.nih.gov/pubmed/20818844" TargetMode="External"/><Relationship Id="rId73" Type="http://schemas.openxmlformats.org/officeDocument/2006/relationships/hyperlink" Target="https://www.ncbi.nlm.nih.gov/pubmed/22608338" TargetMode="External"/><Relationship Id="rId74" Type="http://schemas.openxmlformats.org/officeDocument/2006/relationships/hyperlink" Target="https://www.ncbi.nlm.nih.gov/pubmed/23918947" TargetMode="External"/><Relationship Id="rId75" Type="http://schemas.openxmlformats.org/officeDocument/2006/relationships/hyperlink" Target="https://www.ncbi.nlm.nih.gov/pubmed/22889973" TargetMode="External"/><Relationship Id="rId76" Type="http://schemas.openxmlformats.org/officeDocument/2006/relationships/hyperlink" Target="https://www.ncbi.nlm.nih.gov/pubmed/31715422" TargetMode="External"/><Relationship Id="rId77" Type="http://schemas.openxmlformats.org/officeDocument/2006/relationships/hyperlink" Target="https://www.ncbi.nlm.nih.gov/pubmed/22743296" TargetMode="External"/><Relationship Id="rId78" Type="http://schemas.openxmlformats.org/officeDocument/2006/relationships/hyperlink" Target="https://www.ncbi.nlm.nih.gov/pubmed/23733758" TargetMode="External"/><Relationship Id="rId79" Type="http://schemas.openxmlformats.org/officeDocument/2006/relationships/hyperlink" Target="https://www.ncbi.nlm.nih.gov/pubmed/24888229" TargetMode="External"/><Relationship Id="rId80" Type="http://schemas.openxmlformats.org/officeDocument/2006/relationships/hyperlink" Target="https://www.ncbi.nlm.nih.gov/pubmed/25466451" TargetMode="External"/><Relationship Id="rId81" Type="http://schemas.openxmlformats.org/officeDocument/2006/relationships/hyperlink" Target="https://www.ncbi.nlm.nih.gov/pubmed/23524406" TargetMode="External"/><Relationship Id="rId82" Type="http://schemas.openxmlformats.org/officeDocument/2006/relationships/hyperlink" Target="https://www.ncbi.nlm.nih.gov/pubmed/27080216" TargetMode="External"/><Relationship Id="rId83" Type="http://schemas.openxmlformats.org/officeDocument/2006/relationships/hyperlink" Target="https://www.ncbi.nlm.nih.gov/pubmed/27283860" TargetMode="External"/><Relationship Id="rId84" Type="http://schemas.openxmlformats.org/officeDocument/2006/relationships/hyperlink" Target="https://www.ncbi.nlm.nih.gov/pubmed/28919011" TargetMode="External"/><Relationship Id="rId85" Type="http://schemas.openxmlformats.org/officeDocument/2006/relationships/hyperlink" Target="https://www.ncbi.nlm.nih.gov/pubmed/29356698" TargetMode="External"/><Relationship Id="rId86" Type="http://schemas.openxmlformats.org/officeDocument/2006/relationships/hyperlink" Target="https://www.ncbi.nlm.nih.gov/pubmed/29573941" TargetMode="External"/><Relationship Id="rId87" Type="http://schemas.openxmlformats.org/officeDocument/2006/relationships/hyperlink" Target="https://www.ncbi.nlm.nih.gov/pubmed/28537004" TargetMode="External"/><Relationship Id="rId88" Type="http://schemas.openxmlformats.org/officeDocument/2006/relationships/hyperlink" Target="https://www.ncbi.nlm.nih.gov/pubmed/30219628" TargetMode="External"/><Relationship Id="rId89" Type="http://schemas.openxmlformats.org/officeDocument/2006/relationships/hyperlink" Target="https://www.ncbi.nlm.nih.gov/pubmed/26433819" TargetMode="External"/><Relationship Id="rId90" Type="http://schemas.openxmlformats.org/officeDocument/2006/relationships/hyperlink" Target="https://www.ncbi.nlm.nih.gov/pubmed/31580757" TargetMode="External"/><Relationship Id="rId91" Type="http://schemas.openxmlformats.org/officeDocument/2006/relationships/hyperlink" Target="https://www.ncbi.nlm.nih.gov/pubmed/32388065" TargetMode="External"/><Relationship Id="rId92" Type="http://schemas.openxmlformats.org/officeDocument/2006/relationships/hyperlink" Target="https://www.ncbi.nlm.nih.gov/pubmed/18259690" TargetMode="External"/><Relationship Id="rId93" Type="http://schemas.openxmlformats.org/officeDocument/2006/relationships/hyperlink" Target="https://www.ncbi.nlm.nih.gov/pubmed/9130710" TargetMode="External"/><Relationship Id="rId94" Type="http://schemas.openxmlformats.org/officeDocument/2006/relationships/hyperlink" Target="https://www.ncbi.nlm.nih.gov/pubmed/12620236" TargetMode="External"/><Relationship Id="rId95" Type="http://schemas.openxmlformats.org/officeDocument/2006/relationships/hyperlink" Target="https://www.ncbi.nlm.nih.gov/pubmed/11252954" TargetMode="External"/><Relationship Id="rId96" Type="http://schemas.openxmlformats.org/officeDocument/2006/relationships/hyperlink" Target="https://www.ncbi.nlm.nih.gov/pubmed/17000658" TargetMode="External"/><Relationship Id="rId97" Type="http://schemas.openxmlformats.org/officeDocument/2006/relationships/hyperlink" Target="https://www.ncbi.nlm.nih.gov/pubmed/27158780" TargetMode="External"/><Relationship Id="rId98" Type="http://schemas.openxmlformats.org/officeDocument/2006/relationships/hyperlink" Target="https://www.ncbi.nlm.nih.gov/pubmed/29337640" TargetMode="External"/><Relationship Id="rId99" Type="http://schemas.openxmlformats.org/officeDocument/2006/relationships/hyperlink" Target="https://www.ncbi.nlm.nih.gov/pubmed/25079552" TargetMode="External"/><Relationship Id="rId100" Type="http://schemas.openxmlformats.org/officeDocument/2006/relationships/hyperlink" Target="https://www.ncbi.nlm.nih.gov/pubmed/28336552" TargetMode="External"/><Relationship Id="rId101" Type="http://schemas.openxmlformats.org/officeDocument/2006/relationships/hyperlink" Target="https://www.ncbi.nlm.nih.gov/pubmed/32109716" TargetMode="External"/><Relationship Id="rId102" Type="http://schemas.openxmlformats.org/officeDocument/2006/relationships/hyperlink" Target="https://www.ncbi.nlm.nih.gov/pubmed/34561632" TargetMode="External"/><Relationship Id="rId103" Type="http://schemas.openxmlformats.org/officeDocument/2006/relationships/hyperlink" Target="https://www.ncbi.nlm.nih.gov/pubmed/15457249" TargetMode="External"/><Relationship Id="rId104" Type="http://schemas.openxmlformats.org/officeDocument/2006/relationships/hyperlink" Target="https://www.ncbi.nlm.nih.gov/pubmed/23610105" TargetMode="External"/><Relationship Id="rId105" Type="http://schemas.openxmlformats.org/officeDocument/2006/relationships/hyperlink" Target="https://www.ncbi.nlm.nih.gov/pubmed/22761469" TargetMode="External"/><Relationship Id="rId106" Type="http://schemas.openxmlformats.org/officeDocument/2006/relationships/hyperlink" Target="https://www.ncbi.nlm.nih.gov/pubmed/28743157" TargetMode="External"/><Relationship Id="rId107" Type="http://schemas.openxmlformats.org/officeDocument/2006/relationships/hyperlink" Target="https://www.ncbi.nlm.nih.gov/pubmed/31469421" TargetMode="External"/><Relationship Id="rId108" Type="http://schemas.openxmlformats.org/officeDocument/2006/relationships/hyperlink" Target="https://www.ncbi.nlm.nih.gov/pubmed/31563805" TargetMode="External"/><Relationship Id="rId109" Type="http://schemas.openxmlformats.org/officeDocument/2006/relationships/hyperlink" Target="https://www.ncbi.nlm.nih.gov/pubmed/35984233" TargetMode="External"/><Relationship Id="rId110" Type="http://schemas.openxmlformats.org/officeDocument/2006/relationships/hyperlink" Target="https://www.ncbi.nlm.nih.gov/pubmed/34534430" TargetMode="External"/><Relationship Id="rId111" Type="http://schemas.openxmlformats.org/officeDocument/2006/relationships/hyperlink" Target="https://www.ncbi.nlm.nih.gov/pubmed/24887180" TargetMode="External"/><Relationship Id="rId112" Type="http://schemas.openxmlformats.org/officeDocument/2006/relationships/hyperlink" Target="https://www.ncbi.nlm.nih.gov/pubmed/25082874" TargetMode="External"/><Relationship Id="rId113" Type="http://schemas.openxmlformats.org/officeDocument/2006/relationships/hyperlink" Target="https://www.ncbi.nlm.nih.gov/pubmed/29989854" TargetMode="External"/><Relationship Id="rId114" Type="http://schemas.openxmlformats.org/officeDocument/2006/relationships/hyperlink" Target="https://www.ncbi.nlm.nih.gov/pubmed/36175985" TargetMode="External"/><Relationship Id="rId115" Type="http://schemas.openxmlformats.org/officeDocument/2006/relationships/hyperlink" Target="https://www.ncbi.nlm.nih.gov/pubmed/20728210" TargetMode="External"/><Relationship Id="rId116" Type="http://schemas.openxmlformats.org/officeDocument/2006/relationships/hyperlink" Target="https://www.ncbi.nlm.nih.gov/pubmed/36229267" TargetMode="External"/><Relationship Id="rId117" Type="http://schemas.openxmlformats.org/officeDocument/2006/relationships/hyperlink" Target="https://www.ncbi.nlm.nih.gov/pubmed/34912120" TargetMode="External"/><Relationship Id="rId118" Type="http://schemas.openxmlformats.org/officeDocument/2006/relationships/hyperlink" Target="https://www.ncbi.nlm.nih.gov/pubmed/32469182" TargetMode="External"/><Relationship Id="rId119" Type="http://schemas.openxmlformats.org/officeDocument/2006/relationships/hyperlink" Target="https://www.ncbi.nlm.nih.gov/pubmed/16775247" TargetMode="External"/><Relationship Id="rId120" Type="http://schemas.openxmlformats.org/officeDocument/2006/relationships/hyperlink" Target="https://www.ncbi.nlm.nih.gov/pubmed/33125859" TargetMode="External"/><Relationship Id="rId121" Type="http://schemas.openxmlformats.org/officeDocument/2006/relationships/hyperlink" Target="https://www.ncbi.nlm.nih.gov/pubmed/32919526" TargetMode="External"/><Relationship Id="rId122" Type="http://schemas.openxmlformats.org/officeDocument/2006/relationships/hyperlink" Target="https://www.ncbi.nlm.nih.gov/pubmed/23636398" TargetMode="External"/><Relationship Id="rId123" Type="http://schemas.openxmlformats.org/officeDocument/2006/relationships/hyperlink" Target="https://www.ncbi.nlm.nih.gov/pubmed/26028255" TargetMode="External"/><Relationship Id="rId124" Type="http://schemas.openxmlformats.org/officeDocument/2006/relationships/hyperlink" Target="https://www.ncbi.nlm.nih.gov/pubmed/32213091" TargetMode="External"/><Relationship Id="rId125" Type="http://schemas.openxmlformats.org/officeDocument/2006/relationships/hyperlink" Target="https://www.ncbi.nlm.nih.gov/pubmed/26181000" TargetMode="External"/><Relationship Id="rId126" Type="http://schemas.openxmlformats.org/officeDocument/2006/relationships/hyperlink" Target="https://www.ncbi.nlm.nih.gov/pubmed/19078925" TargetMode="External"/><Relationship Id="rId127" Type="http://schemas.openxmlformats.org/officeDocument/2006/relationships/hyperlink" Target="https://www.ncbi.nlm.nih.gov/pubmed/25673086" TargetMode="External"/><Relationship Id="rId128" Type="http://schemas.openxmlformats.org/officeDocument/2006/relationships/hyperlink" Target="https://www.ncbi.nlm.nih.gov/pubmed/31956294" TargetMode="External"/><Relationship Id="rId129" Type="http://schemas.openxmlformats.org/officeDocument/2006/relationships/hyperlink" Target="https://www.ncbi.nlm.nih.gov/pubmed/31618962" TargetMode="External"/><Relationship Id="rId130" Type="http://schemas.openxmlformats.org/officeDocument/2006/relationships/hyperlink" Target="https://www.ncbi.nlm.nih.gov/pubmed/34630437" TargetMode="External"/><Relationship Id="rId131" Type="http://schemas.openxmlformats.org/officeDocument/2006/relationships/hyperlink" Target="https://www.ncbi.nlm.nih.gov/pubmed/30887763" TargetMode="External"/><Relationship Id="rId132" Type="http://schemas.openxmlformats.org/officeDocument/2006/relationships/hyperlink" Target="https://www.ncbi.nlm.nih.gov/pubmed/30787022" TargetMode="External"/><Relationship Id="rId133" Type="http://schemas.openxmlformats.org/officeDocument/2006/relationships/hyperlink" Target="https://www.ncbi.nlm.nih.gov/pubmed/28596308" TargetMode="External"/><Relationship Id="rId134" Type="http://schemas.openxmlformats.org/officeDocument/2006/relationships/hyperlink" Target="https://www.ncbi.nlm.nih.gov/pubmed/33516088" TargetMode="External"/><Relationship Id="rId135" Type="http://schemas.openxmlformats.org/officeDocument/2006/relationships/hyperlink" Target="https://www.ncbi.nlm.nih.gov/pubmed/34423229" TargetMode="External"/><Relationship Id="rId136" Type="http://schemas.openxmlformats.org/officeDocument/2006/relationships/hyperlink" Target="https://www.ncbi.nlm.nih.gov/pubmed/35274707" TargetMode="External"/><Relationship Id="rId137" Type="http://schemas.openxmlformats.org/officeDocument/2006/relationships/hyperlink" Target="https://www.ncbi.nlm.nih.gov/pubmed/33214570" TargetMode="External"/><Relationship Id="rId138" Type="http://schemas.openxmlformats.org/officeDocument/2006/relationships/hyperlink" Target="https://www.ncbi.nlm.nih.gov/pubmed/34740923" TargetMode="External"/><Relationship Id="rId139" Type="http://schemas.openxmlformats.org/officeDocument/2006/relationships/hyperlink" Target="https://www.ncbi.nlm.nih.gov/pubmed/33149131" TargetMode="External"/><Relationship Id="rId140" Type="http://schemas.openxmlformats.org/officeDocument/2006/relationships/hyperlink" Target="https://www.ncbi.nlm.nih.gov/pubmed/31362850" TargetMode="External"/><Relationship Id="rId141" Type="http://schemas.openxmlformats.org/officeDocument/2006/relationships/hyperlink" Target="https://www.ncbi.nlm.nih.gov/pubmed/34021944" TargetMode="External"/><Relationship Id="rId142" Type="http://schemas.openxmlformats.org/officeDocument/2006/relationships/hyperlink" Target="https://www.ncbi.nlm.nih.gov/pubmed/33630412" TargetMode="External"/><Relationship Id="rId143" Type="http://schemas.openxmlformats.org/officeDocument/2006/relationships/hyperlink" Target="https://www.ncbi.nlm.nih.gov/pubmed/35228986" TargetMode="External"/><Relationship Id="rId144" Type="http://schemas.openxmlformats.org/officeDocument/2006/relationships/hyperlink" Target="https://www.ncbi.nlm.nih.gov/pubmed/34203281" TargetMode="External"/><Relationship Id="rId145" Type="http://schemas.openxmlformats.org/officeDocument/2006/relationships/hyperlink" Target="https://www.ncbi.nlm.nih.gov/pubmed/33687763" TargetMode="External"/><Relationship Id="rId146" Type="http://schemas.openxmlformats.org/officeDocument/2006/relationships/hyperlink" Target="https://www.ncbi.nlm.nih.gov/pubmed/32764980" TargetMode="External"/><Relationship Id="rId147" Type="http://schemas.openxmlformats.org/officeDocument/2006/relationships/hyperlink" Target="https://www.ncbi.nlm.nih.gov/pubmed/28807052" TargetMode="External"/><Relationship Id="rId148" Type="http://schemas.openxmlformats.org/officeDocument/2006/relationships/hyperlink" Target="https://www.ncbi.nlm.nih.gov/pubmed/35671201" TargetMode="External"/><Relationship Id="rId149" Type="http://schemas.openxmlformats.org/officeDocument/2006/relationships/hyperlink" Target="https://www.ncbi.nlm.nih.gov/pubmed/30911265" TargetMode="External"/><Relationship Id="rId150" Type="http://schemas.openxmlformats.org/officeDocument/2006/relationships/hyperlink" Target="https://www.ncbi.nlm.nih.gov/pubmed/36016731" TargetMode="External"/><Relationship Id="rId151" Type="http://schemas.openxmlformats.org/officeDocument/2006/relationships/hyperlink" Target="https://www.ncbi.nlm.nih.gov/pubmed/35276342" TargetMode="External"/><Relationship Id="rId152" Type="http://schemas.openxmlformats.org/officeDocument/2006/relationships/hyperlink" Target="https://www.ncbi.nlm.nih.gov/pubmed/32396674" TargetMode="External"/><Relationship Id="rId153" Type="http://schemas.openxmlformats.org/officeDocument/2006/relationships/hyperlink" Target="https://www.ncbi.nlm.nih.gov/pubmed/34230008" TargetMode="External"/><Relationship Id="rId154" Type="http://schemas.openxmlformats.org/officeDocument/2006/relationships/hyperlink" Target="https://www.ncbi.nlm.nih.gov/pubmed/33256089" TargetMode="External"/><Relationship Id="rId155" Type="http://schemas.openxmlformats.org/officeDocument/2006/relationships/hyperlink" Target="https://www.ncbi.nlm.nih.gov/pubmed/34184561" TargetMode="External"/><Relationship Id="rId156" Type="http://schemas.openxmlformats.org/officeDocument/2006/relationships/hyperlink" Target="https://www.ncbi.nlm.nih.gov/pubmed/33401585" TargetMode="External"/><Relationship Id="rId157" Type="http://schemas.openxmlformats.org/officeDocument/2006/relationships/hyperlink" Target="https://www.ncbi.nlm.nih.gov/pubmed/35101885" TargetMode="External"/><Relationship Id="rId158" Type="http://schemas.openxmlformats.org/officeDocument/2006/relationships/hyperlink" Target="https://www.ncbi.nlm.nih.gov/pubmed/34104805" TargetMode="External"/><Relationship Id="rId159" Type="http://schemas.openxmlformats.org/officeDocument/2006/relationships/hyperlink" Target="https://www.ncbi.nlm.nih.gov/pubmed/35062949" TargetMode="External"/><Relationship Id="rId160" Type="http://schemas.openxmlformats.org/officeDocument/2006/relationships/hyperlink" Target="https://www.ncbi.nlm.nih.gov/pubmed/31829747" TargetMode="External"/><Relationship Id="rId161" Type="http://schemas.openxmlformats.org/officeDocument/2006/relationships/hyperlink" Target="https://www.ncbi.nlm.nih.gov/pubmed/33427656" TargetMode="External"/><Relationship Id="rId162" Type="http://schemas.openxmlformats.org/officeDocument/2006/relationships/hyperlink" Target="https://www.ncbi.nlm.nih.gov/pubmed/35032007" TargetMode="External"/><Relationship Id="rId163" Type="http://schemas.openxmlformats.org/officeDocument/2006/relationships/hyperlink" Target="https://www.ncbi.nlm.nih.gov/pubmed/34956912" TargetMode="External"/><Relationship Id="rId164" Type="http://schemas.openxmlformats.org/officeDocument/2006/relationships/hyperlink" Target="https://www.ncbi.nlm.nih.gov/pubmed/35081747" TargetMode="External"/><Relationship Id="rId165" Type="http://schemas.openxmlformats.org/officeDocument/2006/relationships/hyperlink" Target="https://www.ncbi.nlm.nih.gov/pubmed/32534646" TargetMode="External"/><Relationship Id="rId166" Type="http://schemas.openxmlformats.org/officeDocument/2006/relationships/hyperlink" Target="https://www.ncbi.nlm.nih.gov/pubmed/35131452" TargetMode="External"/><Relationship Id="rId167" Type="http://schemas.openxmlformats.org/officeDocument/2006/relationships/hyperlink" Target="https://www.ncbi.nlm.nih.gov/pubmed/23493883" TargetMode="External"/><Relationship Id="rId168" Type="http://schemas.openxmlformats.org/officeDocument/2006/relationships/hyperlink" Target="https://www.ncbi.nlm.nih.gov/pubmed/18408761" TargetMode="External"/><Relationship Id="rId169" Type="http://schemas.openxmlformats.org/officeDocument/2006/relationships/hyperlink" Target="https://www.ncbi.nlm.nih.gov/pubmed/28149837" TargetMode="External"/><Relationship Id="rId170" Type="http://schemas.openxmlformats.org/officeDocument/2006/relationships/hyperlink" Target="https://www.ncbi.nlm.nih.gov/pubmed/34638411" TargetMode="External"/><Relationship Id="rId171" Type="http://schemas.openxmlformats.org/officeDocument/2006/relationships/hyperlink" Target="https://www.ncbi.nlm.nih.gov/pubmed/23470965" TargetMode="External"/><Relationship Id="rId172" Type="http://schemas.openxmlformats.org/officeDocument/2006/relationships/hyperlink" Target="https://www.ncbi.nlm.nih.gov/pubmed/11970755" TargetMode="External"/><Relationship Id="rId173" Type="http://schemas.openxmlformats.org/officeDocument/2006/relationships/hyperlink" Target="https://www.ncbi.nlm.nih.gov/pubmed/25568148" TargetMode="External"/><Relationship Id="rId174" Type="http://schemas.openxmlformats.org/officeDocument/2006/relationships/hyperlink" Target="https://www.ncbi.nlm.nih.gov/pubmed/17212999" TargetMode="External"/><Relationship Id="rId175" Type="http://schemas.openxmlformats.org/officeDocument/2006/relationships/hyperlink" Target="https://www.ncbi.nlm.nih.gov/pubmed/19897538" TargetMode="External"/><Relationship Id="rId176" Type="http://schemas.openxmlformats.org/officeDocument/2006/relationships/hyperlink" Target="https://www.ncbi.nlm.nih.gov/pubmed/27748633" TargetMode="External"/><Relationship Id="rId177" Type="http://schemas.openxmlformats.org/officeDocument/2006/relationships/hyperlink" Target="https://www.ncbi.nlm.nih.gov/pubmed/15901587" TargetMode="External"/><Relationship Id="rId178" Type="http://schemas.openxmlformats.org/officeDocument/2006/relationships/hyperlink" Target="https://www.ncbi.nlm.nih.gov/pubmed/20061402" TargetMode="External"/><Relationship Id="rId179" Type="http://schemas.openxmlformats.org/officeDocument/2006/relationships/hyperlink" Target="https://www.ncbi.nlm.nih.gov/pubmed/24687829" TargetMode="External"/><Relationship Id="rId180" Type="http://schemas.openxmlformats.org/officeDocument/2006/relationships/hyperlink" Target="https://www.ncbi.nlm.nih.gov/pubmed/28438473" TargetMode="External"/><Relationship Id="rId181" Type="http://schemas.openxmlformats.org/officeDocument/2006/relationships/hyperlink" Target="https://www.ncbi.nlm.nih.gov/pubmed/32305099" TargetMode="External"/><Relationship Id="rId182" Type="http://schemas.openxmlformats.org/officeDocument/2006/relationships/hyperlink" Target="https://www.ncbi.nlm.nih.gov/pubmed/22204724" TargetMode="External"/><Relationship Id="rId183" Type="http://schemas.openxmlformats.org/officeDocument/2006/relationships/hyperlink" Target="https://www.ncbi.nlm.nih.gov/pubmed/31216226" TargetMode="External"/><Relationship Id="rId184" Type="http://schemas.openxmlformats.org/officeDocument/2006/relationships/hyperlink" Target="https://www.ncbi.nlm.nih.gov/pubmed/29863955" TargetMode="External"/><Relationship Id="rId185" Type="http://schemas.openxmlformats.org/officeDocument/2006/relationships/hyperlink" Target="https://www.ncbi.nlm.nih.gov/pubmed/34051880" TargetMode="External"/><Relationship Id="rId186" Type="http://schemas.openxmlformats.org/officeDocument/2006/relationships/hyperlink" Target="https://www.ncbi.nlm.nih.gov/pubmed/34189869" TargetMode="External"/><Relationship Id="rId187" Type="http://schemas.openxmlformats.org/officeDocument/2006/relationships/hyperlink" Target="https://www.ncbi.nlm.nih.gov/pubmed/34534429" TargetMode="External"/><Relationship Id="rId188" Type="http://schemas.openxmlformats.org/officeDocument/2006/relationships/hyperlink" Target="https://www.ncbi.nlm.nih.gov/pubmed/30075697" TargetMode="External"/><Relationship Id="rId189" Type="http://schemas.openxmlformats.org/officeDocument/2006/relationships/hyperlink" Target="https://www.ncbi.nlm.nih.gov/pubmed/33188892" TargetMode="External"/><Relationship Id="rId190" Type="http://schemas.openxmlformats.org/officeDocument/2006/relationships/hyperlink" Target="https://www.ncbi.nlm.nih.gov/pubmed/20197484" TargetMode="External"/><Relationship Id="rId191" Type="http://schemas.openxmlformats.org/officeDocument/2006/relationships/hyperlink" Target="https://www.ncbi.nlm.nih.gov/pubmed/31228284" TargetMode="External"/><Relationship Id="rId192" Type="http://schemas.openxmlformats.org/officeDocument/2006/relationships/hyperlink" Target="https://www.ncbi.nlm.nih.gov/pubmed/32793499" TargetMode="External"/><Relationship Id="rId193" Type="http://schemas.openxmlformats.org/officeDocument/2006/relationships/hyperlink" Target="https://www.ncbi.nlm.nih.gov/pubmed/32371296" TargetMode="External"/><Relationship Id="rId194" Type="http://schemas.openxmlformats.org/officeDocument/2006/relationships/hyperlink" Target="https://www.ncbi.nlm.nih.gov/pubmed/24094768" TargetMode="External"/><Relationship Id="rId195" Type="http://schemas.openxmlformats.org/officeDocument/2006/relationships/hyperlink" Target="https://www.ncbi.nlm.nih.gov/pubmed/25240821" TargetMode="External"/><Relationship Id="rId196" Type="http://schemas.openxmlformats.org/officeDocument/2006/relationships/hyperlink" Target="https://www.ncbi.nlm.nih.gov/pubmed/25877855" TargetMode="External"/><Relationship Id="rId197" Type="http://schemas.openxmlformats.org/officeDocument/2006/relationships/hyperlink" Target="https://www.ncbi.nlm.nih.gov/pubmed/31591063" TargetMode="External"/><Relationship Id="rId198" Type="http://schemas.openxmlformats.org/officeDocument/2006/relationships/hyperlink" Target="https://www.ncbi.nlm.nih.gov/pubmed/23803182" TargetMode="External"/><Relationship Id="rId199" Type="http://schemas.openxmlformats.org/officeDocument/2006/relationships/hyperlink" Target="https://www.ncbi.nlm.nih.gov/pubmed/23881668" TargetMode="External"/><Relationship Id="rId200" Type="http://schemas.openxmlformats.org/officeDocument/2006/relationships/hyperlink" Target="https://www.ncbi.nlm.nih.gov/pubmed/22735384" TargetMode="External"/><Relationship Id="rId201" Type="http://schemas.openxmlformats.org/officeDocument/2006/relationships/hyperlink" Target="https://www.ncbi.nlm.nih.gov/pubmed/24583796" TargetMode="External"/><Relationship Id="rId202" Type="http://schemas.openxmlformats.org/officeDocument/2006/relationships/hyperlink" Target="https://www.ncbi.nlm.nih.gov/pubmed/28475671" TargetMode="External"/><Relationship Id="rId203" Type="http://schemas.openxmlformats.org/officeDocument/2006/relationships/hyperlink" Target="https://www.ncbi.nlm.nih.gov/pubmed/28891408" TargetMode="External"/><Relationship Id="rId204" Type="http://schemas.openxmlformats.org/officeDocument/2006/relationships/hyperlink" Target="https://www.ncbi.nlm.nih.gov/pubmed/29072975" TargetMode="External"/><Relationship Id="rId205" Type="http://schemas.openxmlformats.org/officeDocument/2006/relationships/hyperlink" Target="https://www.ncbi.nlm.nih.gov/pubmed/22131348" TargetMode="External"/><Relationship Id="rId206" Type="http://schemas.openxmlformats.org/officeDocument/2006/relationships/hyperlink" Target="https://www.ncbi.nlm.nih.gov/pubmed/24265153" TargetMode="External"/><Relationship Id="rId207" Type="http://schemas.openxmlformats.org/officeDocument/2006/relationships/hyperlink" Target="https://www.ncbi.nlm.nih.gov/pubmed/24670642" TargetMode="External"/><Relationship Id="rId208" Type="http://schemas.openxmlformats.org/officeDocument/2006/relationships/hyperlink" Target="https://www.ncbi.nlm.nih.gov/pubmed/32368388" TargetMode="External"/><Relationship Id="rId209" Type="http://schemas.openxmlformats.org/officeDocument/2006/relationships/hyperlink" Target="https://www.ncbi.nlm.nih.gov/pubmed/33419275" TargetMode="External"/><Relationship Id="rId210" Type="http://schemas.openxmlformats.org/officeDocument/2006/relationships/hyperlink" Target="https://www.ncbi.nlm.nih.gov/pubmed/32956754" TargetMode="External"/><Relationship Id="rId211" Type="http://schemas.openxmlformats.org/officeDocument/2006/relationships/hyperlink" Target="https://www.ncbi.nlm.nih.gov/pubmed/5452114" TargetMode="External"/><Relationship Id="rId212" Type="http://schemas.openxmlformats.org/officeDocument/2006/relationships/hyperlink" Target="https://www.ncbi.nlm.nih.gov/pubmed/23846731" TargetMode="External"/><Relationship Id="rId213" Type="http://schemas.openxmlformats.org/officeDocument/2006/relationships/hyperlink" Target="https://www.ncbi.nlm.nih.gov/pubmed/22805292" TargetMode="External"/><Relationship Id="rId214" Type="http://schemas.openxmlformats.org/officeDocument/2006/relationships/hyperlink" Target="https://www.ncbi.nlm.nih.gov/pubmed/31249721" TargetMode="External"/><Relationship Id="rId215" Type="http://schemas.openxmlformats.org/officeDocument/2006/relationships/hyperlink" Target="https://www.ncbi.nlm.nih.gov/pubmed/26347206" TargetMode="External"/><Relationship Id="rId216" Type="http://schemas.openxmlformats.org/officeDocument/2006/relationships/hyperlink" Target="https://www.ncbi.nlm.nih.gov/pubmed/30690294" TargetMode="External"/><Relationship Id="rId217" Type="http://schemas.openxmlformats.org/officeDocument/2006/relationships/hyperlink" Target="https://www.ncbi.nlm.nih.gov/pubmed/22663011" TargetMode="External"/><Relationship Id="rId218" Type="http://schemas.openxmlformats.org/officeDocument/2006/relationships/hyperlink" Target="https://www.ncbi.nlm.nih.gov/pubmed/25265492" TargetMode="External"/><Relationship Id="rId219" Type="http://schemas.openxmlformats.org/officeDocument/2006/relationships/hyperlink" Target="https://www.ncbi.nlm.nih.gov/pubmed/23020132" TargetMode="External"/><Relationship Id="rId220" Type="http://schemas.openxmlformats.org/officeDocument/2006/relationships/hyperlink" Target="https://www.ncbi.nlm.nih.gov/pubmed/25452114" TargetMode="External"/><Relationship Id="rId221" Type="http://schemas.openxmlformats.org/officeDocument/2006/relationships/hyperlink" Target="https://www.ncbi.nlm.nih.gov/pubmed/33340965" TargetMode="External"/><Relationship Id="rId222" Type="http://schemas.openxmlformats.org/officeDocument/2006/relationships/hyperlink" Target="https://www.ncbi.nlm.nih.gov/pubmed/27028853" TargetMode="External"/><Relationship Id="rId223" Type="http://schemas.openxmlformats.org/officeDocument/2006/relationships/hyperlink" Target="https://www.ncbi.nlm.nih.gov/pubmed/22067401" TargetMode="External"/><Relationship Id="rId224" Type="http://schemas.openxmlformats.org/officeDocument/2006/relationships/hyperlink" Target="https://www.ncbi.nlm.nih.gov/pubmed/22256804" TargetMode="External"/><Relationship Id="rId225" Type="http://schemas.openxmlformats.org/officeDocument/2006/relationships/hyperlink" Target="https://www.ncbi.nlm.nih.gov/pubmed/20130576" TargetMode="External"/><Relationship Id="rId226" Type="http://schemas.openxmlformats.org/officeDocument/2006/relationships/hyperlink" Target="https://www.ncbi.nlm.nih.gov/pubmed/20179705" TargetMode="External"/><Relationship Id="rId227" Type="http://schemas.openxmlformats.org/officeDocument/2006/relationships/hyperlink" Target="https://www.ncbi.nlm.nih.gov/pubmed/25096067" TargetMode="External"/><Relationship Id="rId228" Type="http://schemas.openxmlformats.org/officeDocument/2006/relationships/hyperlink" Target="https://www.ncbi.nlm.nih.gov/pubmed/22356324" TargetMode="External"/><Relationship Id="rId229" Type="http://schemas.openxmlformats.org/officeDocument/2006/relationships/hyperlink" Target="https://www.ncbi.nlm.nih.gov/pubmed/29188284" TargetMode="External"/><Relationship Id="rId230" Type="http://schemas.openxmlformats.org/officeDocument/2006/relationships/hyperlink" Target="https://www.ncbi.nlm.nih.gov/pubmed/30120160" TargetMode="External"/><Relationship Id="rId231" Type="http://schemas.openxmlformats.org/officeDocument/2006/relationships/hyperlink" Target="https://www.ncbi.nlm.nih.gov/pubmed/25037139" TargetMode="External"/><Relationship Id="rId232" Type="http://schemas.openxmlformats.org/officeDocument/2006/relationships/hyperlink" Target="https://www.ncbi.nlm.nih.gov/pubmed/27480103" TargetMode="External"/><Relationship Id="rId233" Type="http://schemas.openxmlformats.org/officeDocument/2006/relationships/hyperlink" Target="https://www.ncbi.nlm.nih.gov/pubmed/25265494" TargetMode="External"/><Relationship Id="rId234" Type="http://schemas.openxmlformats.org/officeDocument/2006/relationships/hyperlink" Target="https://www.ncbi.nlm.nih.gov/pubmed/33604667" TargetMode="External"/><Relationship Id="rId235" Type="http://schemas.openxmlformats.org/officeDocument/2006/relationships/hyperlink" Target="https://www.ncbi.nlm.nih.gov/pubmed/33503393" TargetMode="External"/><Relationship Id="rId236" Type="http://schemas.openxmlformats.org/officeDocument/2006/relationships/hyperlink" Target="https://www.ncbi.nlm.nih.gov/pubmed/30892987" TargetMode="External"/><Relationship Id="rId237" Type="http://schemas.openxmlformats.org/officeDocument/2006/relationships/hyperlink" Target="https://www.ncbi.nlm.nih.gov/pubmed/31566309" TargetMode="External"/><Relationship Id="rId238" Type="http://schemas.openxmlformats.org/officeDocument/2006/relationships/hyperlink" Target="https://www.ncbi.nlm.nih.gov/pubmed/28363909" TargetMode="External"/><Relationship Id="rId239" Type="http://schemas.openxmlformats.org/officeDocument/2006/relationships/hyperlink" Target="https://www.ncbi.nlm.nih.gov/pubmed/33204026" TargetMode="External"/><Relationship Id="rId240" Type="http://schemas.openxmlformats.org/officeDocument/2006/relationships/hyperlink" Target="https://www.ncbi.nlm.nih.gov/pubmed/32249628" TargetMode="External"/><Relationship Id="rId241" Type="http://schemas.openxmlformats.org/officeDocument/2006/relationships/hyperlink" Target="https://www.ncbi.nlm.nih.gov/pubmed/30881167" TargetMode="External"/><Relationship Id="rId242" Type="http://schemas.openxmlformats.org/officeDocument/2006/relationships/hyperlink" Target="https://www.ncbi.nlm.nih.gov/pubmed/28983798" TargetMode="External"/><Relationship Id="rId243" Type="http://schemas.openxmlformats.org/officeDocument/2006/relationships/hyperlink" Target="https://www.ncbi.nlm.nih.gov/pubmed/26443686" TargetMode="External"/><Relationship Id="rId244" Type="http://schemas.openxmlformats.org/officeDocument/2006/relationships/hyperlink" Target="https://www.ncbi.nlm.nih.gov/pubmed/24528902" TargetMode="External"/><Relationship Id="rId245" Type="http://schemas.openxmlformats.org/officeDocument/2006/relationships/hyperlink" Target="https://www.ncbi.nlm.nih.gov/pubmed/30096012" TargetMode="External"/><Relationship Id="rId246" Type="http://schemas.openxmlformats.org/officeDocument/2006/relationships/hyperlink" Target="https://www.ncbi.nlm.nih.gov/pubmed/32296035" TargetMode="External"/><Relationship Id="rId247" Type="http://schemas.openxmlformats.org/officeDocument/2006/relationships/hyperlink" Target="https://www.ncbi.nlm.nih.gov/pubmed/25882396" TargetMode="External"/><Relationship Id="rId248" Type="http://schemas.openxmlformats.org/officeDocument/2006/relationships/hyperlink" Target="https://www.ncbi.nlm.nih.gov/pubmed/26377300" TargetMode="External"/><Relationship Id="rId249" Type="http://schemas.openxmlformats.org/officeDocument/2006/relationships/hyperlink" Target="https://www.ncbi.nlm.nih.gov/pubmed/20601446" TargetMode="External"/><Relationship Id="rId250" Type="http://schemas.openxmlformats.org/officeDocument/2006/relationships/hyperlink" Target="https://www.ncbi.nlm.nih.gov/pubmed/32933335" TargetMode="External"/><Relationship Id="rId251" Type="http://schemas.openxmlformats.org/officeDocument/2006/relationships/hyperlink" Target="https://www.ncbi.nlm.nih.gov/pubmed/31352604" TargetMode="External"/><Relationship Id="rId252" Type="http://schemas.openxmlformats.org/officeDocument/2006/relationships/hyperlink" Target="https://www.ncbi.nlm.nih.gov/pubmed/31693429" TargetMode="External"/><Relationship Id="rId253" Type="http://schemas.openxmlformats.org/officeDocument/2006/relationships/hyperlink" Target="https://www.ncbi.nlm.nih.gov/pubmed/29856685" TargetMode="External"/><Relationship Id="rId254" Type="http://schemas.openxmlformats.org/officeDocument/2006/relationships/hyperlink" Target="https://www.ncbi.nlm.nih.gov/pubmed/34606378" TargetMode="External"/><Relationship Id="rId255" Type="http://schemas.openxmlformats.org/officeDocument/2006/relationships/hyperlink" Target="https://www.ncbi.nlm.nih.gov/pubmed/30218345" TargetMode="External"/><Relationship Id="rId256" Type="http://schemas.openxmlformats.org/officeDocument/2006/relationships/hyperlink" Target="https://www.ncbi.nlm.nih.gov/pubmed/31616627" TargetMode="External"/><Relationship Id="rId257" Type="http://schemas.openxmlformats.org/officeDocument/2006/relationships/hyperlink" Target="https://www.ncbi.nlm.nih.gov/pubmed/16336752" TargetMode="External"/><Relationship Id="rId258" Type="http://schemas.openxmlformats.org/officeDocument/2006/relationships/hyperlink" Target="https://www.ncbi.nlm.nih.gov/pubmed/15821783" TargetMode="External"/><Relationship Id="rId259" Type="http://schemas.openxmlformats.org/officeDocument/2006/relationships/hyperlink" Target="https://www.ncbi.nlm.nih.gov/pubmed/33237690" TargetMode="External"/><Relationship Id="rId260" Type="http://schemas.openxmlformats.org/officeDocument/2006/relationships/hyperlink" Target="https://www.ncbi.nlm.nih.gov/pubmed/33833048" TargetMode="External"/><Relationship Id="rId261" Type="http://schemas.openxmlformats.org/officeDocument/2006/relationships/hyperlink" Target="https://www.ncbi.nlm.nih.gov/pubmed/33154570" TargetMode="External"/><Relationship Id="rId262" Type="http://schemas.openxmlformats.org/officeDocument/2006/relationships/hyperlink" Target="https://www.ncbi.nlm.nih.gov/pubmed/34896698" TargetMode="External"/><Relationship Id="rId263" Type="http://schemas.openxmlformats.org/officeDocument/2006/relationships/hyperlink" Target="https://www.ncbi.nlm.nih.gov/pubmed/34482179" TargetMode="External"/><Relationship Id="rId264" Type="http://schemas.openxmlformats.org/officeDocument/2006/relationships/hyperlink" Target="https://www.ncbi.nlm.nih.gov/pubmed/34022697" TargetMode="External"/><Relationship Id="rId265" Type="http://schemas.openxmlformats.org/officeDocument/2006/relationships/hyperlink" Target="https://www.ncbi.nlm.nih.gov/pubmed/35260570" TargetMode="External"/><Relationship Id="rId266" Type="http://schemas.openxmlformats.org/officeDocument/2006/relationships/hyperlink" Target="https://www.ncbi.nlm.nih.gov/pubmed/34663410" TargetMode="External"/><Relationship Id="rId267" Type="http://schemas.openxmlformats.org/officeDocument/2006/relationships/hyperlink" Target="https://www.ncbi.nlm.nih.gov/pubmed/21596817" TargetMode="External"/><Relationship Id="rId268" Type="http://schemas.openxmlformats.org/officeDocument/2006/relationships/hyperlink" Target="https://www.ncbi.nlm.nih.gov/pubmed/34152568" TargetMode="External"/><Relationship Id="rId269" Type="http://schemas.openxmlformats.org/officeDocument/2006/relationships/hyperlink" Target="https://www.ncbi.nlm.nih.gov/pubmed/34533973" TargetMode="External"/><Relationship Id="rId270" Type="http://schemas.openxmlformats.org/officeDocument/2006/relationships/hyperlink" Target="https://www.ncbi.nlm.nih.gov/pubmed/29080924" TargetMode="External"/><Relationship Id="rId271" Type="http://schemas.openxmlformats.org/officeDocument/2006/relationships/hyperlink" Target="https://www.ncbi.nlm.nih.gov/pubmed/24718886" TargetMode="External"/><Relationship Id="rId272" Type="http://schemas.openxmlformats.org/officeDocument/2006/relationships/hyperlink" Target="https://www.ncbi.nlm.nih.gov/pubmed/24739896" TargetMode="External"/><Relationship Id="rId273" Type="http://schemas.openxmlformats.org/officeDocument/2006/relationships/hyperlink" Target="https://www.ncbi.nlm.nih.gov/pubmed/29488071" TargetMode="External"/><Relationship Id="rId274" Type="http://schemas.openxmlformats.org/officeDocument/2006/relationships/hyperlink" Target="https://www.ncbi.nlm.nih.gov/pubmed/22315332" TargetMode="External"/><Relationship Id="rId275" Type="http://schemas.openxmlformats.org/officeDocument/2006/relationships/hyperlink" Target="https://www.ncbi.nlm.nih.gov/pubmed/32005279" TargetMode="External"/><Relationship Id="rId276" Type="http://schemas.openxmlformats.org/officeDocument/2006/relationships/hyperlink" Target="https://www.ncbi.nlm.nih.gov/pubmed/33629601" TargetMode="External"/><Relationship Id="rId277" Type="http://schemas.openxmlformats.org/officeDocument/2006/relationships/hyperlink" Target="https://www.ncbi.nlm.nih.gov/pubmed/33658846" TargetMode="External"/><Relationship Id="rId278" Type="http://schemas.openxmlformats.org/officeDocument/2006/relationships/hyperlink" Target="https://www.ncbi.nlm.nih.gov/pubmed/30241301" TargetMode="External"/><Relationship Id="rId279" Type="http://schemas.openxmlformats.org/officeDocument/2006/relationships/hyperlink" Target="https://www.ncbi.nlm.nih.gov/pubmed/16236735" TargetMode="External"/><Relationship Id="rId280" Type="http://schemas.openxmlformats.org/officeDocument/2006/relationships/hyperlink" Target="https://www.ncbi.nlm.nih.gov/pubmed/22471661" TargetMode="External"/><Relationship Id="rId281" Type="http://schemas.openxmlformats.org/officeDocument/2006/relationships/hyperlink" Target="https://www.ncbi.nlm.nih.gov/pubmed/34262612" TargetMode="External"/><Relationship Id="rId282" Type="http://schemas.openxmlformats.org/officeDocument/2006/relationships/hyperlink" Target="https://www.ncbi.nlm.nih.gov/pubmed/28323504" TargetMode="External"/><Relationship Id="rId283" Type="http://schemas.openxmlformats.org/officeDocument/2006/relationships/hyperlink" Target="https://www.ncbi.nlm.nih.gov/pubmed/35364421" TargetMode="External"/><Relationship Id="rId284" Type="http://schemas.openxmlformats.org/officeDocument/2006/relationships/hyperlink" Target="https://www.ncbi.nlm.nih.gov/pubmed/33183120" TargetMode="External"/><Relationship Id="rId285" Type="http://schemas.openxmlformats.org/officeDocument/2006/relationships/hyperlink" Target="https://www.ncbi.nlm.nih.gov/pubmed/34083238" TargetMode="External"/><Relationship Id="rId286" Type="http://schemas.openxmlformats.org/officeDocument/2006/relationships/hyperlink" Target="https://www.ncbi.nlm.nih.gov/pubmed/32771306" TargetMode="External"/><Relationship Id="rId287" Type="http://schemas.openxmlformats.org/officeDocument/2006/relationships/hyperlink" Target="https://www.ncbi.nlm.nih.gov/pubmed/33846198" TargetMode="External"/><Relationship Id="rId288" Type="http://schemas.openxmlformats.org/officeDocument/2006/relationships/hyperlink" Target="https://www.ncbi.nlm.nih.gov/pubmed/29360728" TargetMode="External"/><Relationship Id="rId289" Type="http://schemas.openxmlformats.org/officeDocument/2006/relationships/hyperlink" Target="https://www.ncbi.nlm.nih.gov/pubmed/28187290" TargetMode="External"/><Relationship Id="rId290" Type="http://schemas.openxmlformats.org/officeDocument/2006/relationships/hyperlink" Target="https://www.ncbi.nlm.nih.gov/pubmed/32000802" TargetMode="External"/><Relationship Id="rId291" Type="http://schemas.openxmlformats.org/officeDocument/2006/relationships/hyperlink" Target="https://www.ncbi.nlm.nih.gov/pubmed/12214266" TargetMode="External"/><Relationship Id="rId292" Type="http://schemas.openxmlformats.org/officeDocument/2006/relationships/hyperlink" Target="https://www.ncbi.nlm.nih.gov/pubmed/34016991" TargetMode="External"/><Relationship Id="rId293" Type="http://schemas.openxmlformats.org/officeDocument/2006/relationships/hyperlink" Target="https://www.ncbi.nlm.nih.gov/pubmed/24876102" TargetMode="External"/><Relationship Id="rId294" Type="http://schemas.openxmlformats.org/officeDocument/2006/relationships/hyperlink" Target="https://www.ncbi.nlm.nih.gov/pubmed/26276735" TargetMode="External"/><Relationship Id="rId295" Type="http://schemas.openxmlformats.org/officeDocument/2006/relationships/hyperlink" Target="https://www.ncbi.nlm.nih.gov/pubmed/28487443" TargetMode="External"/><Relationship Id="rId296" Type="http://schemas.openxmlformats.org/officeDocument/2006/relationships/hyperlink" Target="https://www.ncbi.nlm.nih.gov/pubmed/33480963" TargetMode="External"/><Relationship Id="rId297" Type="http://schemas.openxmlformats.org/officeDocument/2006/relationships/hyperlink" Target="https://www.ncbi.nlm.nih.gov/pubmed/30911337" TargetMode="External"/><Relationship Id="rId298" Type="http://schemas.openxmlformats.org/officeDocument/2006/relationships/hyperlink" Target="https://www.ncbi.nlm.nih.gov/pubmed/15173008" TargetMode="External"/><Relationship Id="rId299" Type="http://schemas.openxmlformats.org/officeDocument/2006/relationships/hyperlink" Target="https://www.ncbi.nlm.nih.gov/pubmed/12502359" TargetMode="External"/><Relationship Id="rId300" Type="http://schemas.openxmlformats.org/officeDocument/2006/relationships/hyperlink" Target="https://www.ncbi.nlm.nih.gov/pubmed/21487605" TargetMode="External"/><Relationship Id="rId301" Type="http://schemas.openxmlformats.org/officeDocument/2006/relationships/hyperlink" Target="https://www.ncbi.nlm.nih.gov/pubmed/28152547" TargetMode="External"/><Relationship Id="rId302" Type="http://schemas.openxmlformats.org/officeDocument/2006/relationships/hyperlink" Target="https://www.ncbi.nlm.nih.gov/pubmed/28053022" TargetMode="External"/><Relationship Id="rId303" Type="http://schemas.openxmlformats.org/officeDocument/2006/relationships/hyperlink" Target="https://www.ncbi.nlm.nih.gov/pubmed/29401002" TargetMode="External"/><Relationship Id="rId304" Type="http://schemas.openxmlformats.org/officeDocument/2006/relationships/hyperlink" Target="https://www.ncbi.nlm.nih.gov/pubmed/33246021" TargetMode="External"/><Relationship Id="rId305" Type="http://schemas.openxmlformats.org/officeDocument/2006/relationships/hyperlink" Target="https://www.ncbi.nlm.nih.gov/pubmed/33707948" TargetMode="External"/><Relationship Id="rId306" Type="http://schemas.openxmlformats.org/officeDocument/2006/relationships/hyperlink" Target="https://www.ncbi.nlm.nih.gov/pubmed/33575071" TargetMode="External"/><Relationship Id="rId307" Type="http://schemas.openxmlformats.org/officeDocument/2006/relationships/hyperlink" Target="https://www.ncbi.nlm.nih.gov/pubmed/33245164" TargetMode="External"/><Relationship Id="rId308" Type="http://schemas.openxmlformats.org/officeDocument/2006/relationships/hyperlink" Target="https://www.ncbi.nlm.nih.gov/pubmed/15018596" TargetMode="External"/><Relationship Id="rId309" Type="http://schemas.openxmlformats.org/officeDocument/2006/relationships/hyperlink" Target="https://www.ncbi.nlm.nih.gov/pubmed/25457991" TargetMode="External"/><Relationship Id="rId310" Type="http://schemas.openxmlformats.org/officeDocument/2006/relationships/hyperlink" Target="https://www.ncbi.nlm.nih.gov/pubmed/32855207" TargetMode="External"/><Relationship Id="rId311" Type="http://schemas.openxmlformats.org/officeDocument/2006/relationships/hyperlink" Target="https://www.ncbi.nlm.nih.gov/pubmed/14555500" TargetMode="External"/><Relationship Id="rId312" Type="http://schemas.openxmlformats.org/officeDocument/2006/relationships/hyperlink" Target="https://www.ncbi.nlm.nih.gov/pubmed/27908454" TargetMode="External"/><Relationship Id="rId313" Type="http://schemas.openxmlformats.org/officeDocument/2006/relationships/hyperlink" Target="https://www.ncbi.nlm.nih.gov/pubmed/26947331" TargetMode="External"/><Relationship Id="rId314" Type="http://schemas.openxmlformats.org/officeDocument/2006/relationships/hyperlink" Target="https://www.ncbi.nlm.nih.gov/pubmed/28580882" TargetMode="External"/><Relationship Id="rId315" Type="http://schemas.openxmlformats.org/officeDocument/2006/relationships/hyperlink" Target="https://www.ncbi.nlm.nih.gov/pubmed/29860922" TargetMode="External"/><Relationship Id="rId316" Type="http://schemas.openxmlformats.org/officeDocument/2006/relationships/hyperlink" Target="https://www.ncbi.nlm.nih.gov/pubmed/20179227" TargetMode="External"/><Relationship Id="rId317" Type="http://schemas.openxmlformats.org/officeDocument/2006/relationships/hyperlink" Target="https://www.ncbi.nlm.nih.gov/pubmed/24283268" TargetMode="External"/><Relationship Id="rId318" Type="http://schemas.openxmlformats.org/officeDocument/2006/relationships/hyperlink" Target="https://www.ncbi.nlm.nih.gov/pubmed/26330617" TargetMode="External"/><Relationship Id="rId319" Type="http://schemas.openxmlformats.org/officeDocument/2006/relationships/hyperlink" Target="https://www.ncbi.nlm.nih.gov/pubmed/30554116" TargetMode="External"/><Relationship Id="rId320" Type="http://schemas.openxmlformats.org/officeDocument/2006/relationships/hyperlink" Target="https://www.ncbi.nlm.nih.gov/pubmed/30848427" TargetMode="External"/><Relationship Id="rId321" Type="http://schemas.openxmlformats.org/officeDocument/2006/relationships/hyperlink" Target="https://www.ncbi.nlm.nih.gov/pubmed/32770287" TargetMode="External"/><Relationship Id="rId322" Type="http://schemas.openxmlformats.org/officeDocument/2006/relationships/hyperlink" Target="https://www.ncbi.nlm.nih.gov/pubmed/18653228" TargetMode="External"/><Relationship Id="rId323" Type="http://schemas.openxmlformats.org/officeDocument/2006/relationships/hyperlink" Target="https://www.ncbi.nlm.nih.gov/pubmed/26703889" TargetMode="External"/><Relationship Id="rId324" Type="http://schemas.openxmlformats.org/officeDocument/2006/relationships/hyperlink" Target="https://www.ncbi.nlm.nih.gov/pubmed/29757017" TargetMode="External"/><Relationship Id="rId325" Type="http://schemas.openxmlformats.org/officeDocument/2006/relationships/hyperlink" Target="https://www.ncbi.nlm.nih.gov/pubmed/21047224" TargetMode="External"/><Relationship Id="rId326" Type="http://schemas.openxmlformats.org/officeDocument/2006/relationships/hyperlink" Target="https://www.ncbi.nlm.nih.gov/pubmed/23325902" TargetMode="External"/><Relationship Id="rId327" Type="http://schemas.openxmlformats.org/officeDocument/2006/relationships/hyperlink" Target="https://www.ncbi.nlm.nih.gov/pubmed/30169322" TargetMode="External"/><Relationship Id="rId328" Type="http://schemas.openxmlformats.org/officeDocument/2006/relationships/hyperlink" Target="https://www.ncbi.nlm.nih.gov/pubmed/22149876" TargetMode="External"/><Relationship Id="rId329" Type="http://schemas.openxmlformats.org/officeDocument/2006/relationships/hyperlink" Target="https://www.ncbi.nlm.nih.gov/pubmed/26482279" TargetMode="External"/><Relationship Id="rId330" Type="http://schemas.openxmlformats.org/officeDocument/2006/relationships/hyperlink" Target="https://www.ncbi.nlm.nih.gov/pubmed/32020516" TargetMode="External"/><Relationship Id="rId331" Type="http://schemas.openxmlformats.org/officeDocument/2006/relationships/hyperlink" Target="https://www.ncbi.nlm.nih.gov/pubmed/31267758" TargetMode="External"/><Relationship Id="rId332" Type="http://schemas.openxmlformats.org/officeDocument/2006/relationships/hyperlink" Target="https://www.ncbi.nlm.nih.gov/pubmed/29895527" TargetMode="External"/><Relationship Id="rId333" Type="http://schemas.openxmlformats.org/officeDocument/2006/relationships/hyperlink" Target="https://www.ncbi.nlm.nih.gov/pubmed/14513432" TargetMode="External"/><Relationship Id="rId334" Type="http://schemas.openxmlformats.org/officeDocument/2006/relationships/hyperlink" Target="https://www.ncbi.nlm.nih.gov/pubmed/24367167" TargetMode="External"/><Relationship Id="rId335" Type="http://schemas.openxmlformats.org/officeDocument/2006/relationships/hyperlink" Target="https://www.ncbi.nlm.nih.gov/pubmed/32700026" TargetMode="External"/><Relationship Id="rId336" Type="http://schemas.openxmlformats.org/officeDocument/2006/relationships/hyperlink" Target="https://www.ncbi.nlm.nih.gov/pubmed/31235695" TargetMode="External"/><Relationship Id="rId337" Type="http://schemas.openxmlformats.org/officeDocument/2006/relationships/hyperlink" Target="https://www.ncbi.nlm.nih.gov/pubmed/10735887" TargetMode="External"/><Relationship Id="rId338" Type="http://schemas.openxmlformats.org/officeDocument/2006/relationships/hyperlink" Target="https://www.ncbi.nlm.nih.gov/pubmed/15014181" TargetMode="External"/><Relationship Id="rId339" Type="http://schemas.openxmlformats.org/officeDocument/2006/relationships/hyperlink" Target="https://www.ncbi.nlm.nih.gov/pubmed/17307102" TargetMode="External"/><Relationship Id="rId340" Type="http://schemas.openxmlformats.org/officeDocument/2006/relationships/hyperlink" Target="https://www.ncbi.nlm.nih.gov/pubmed/25810012" TargetMode="External"/><Relationship Id="rId341" Type="http://schemas.openxmlformats.org/officeDocument/2006/relationships/hyperlink" Target="https://www.ncbi.nlm.nih.gov/pubmed/26064072" TargetMode="External"/><Relationship Id="rId342" Type="http://schemas.openxmlformats.org/officeDocument/2006/relationships/hyperlink" Target="https://www.ncbi.nlm.nih.gov/pubmed/29116433" TargetMode="External"/><Relationship Id="rId343" Type="http://schemas.openxmlformats.org/officeDocument/2006/relationships/hyperlink" Target="https://www.ncbi.nlm.nih.gov/pubmed/34461272" TargetMode="External"/><Relationship Id="rId344" Type="http://schemas.openxmlformats.org/officeDocument/2006/relationships/hyperlink" Target="https://www.ncbi.nlm.nih.gov/pubmed/28407031" TargetMode="External"/><Relationship Id="rId345" Type="http://schemas.openxmlformats.org/officeDocument/2006/relationships/hyperlink" Target="https://www.ncbi.nlm.nih.gov/pubmed/35015593" TargetMode="External"/><Relationship Id="rId346" Type="http://schemas.openxmlformats.org/officeDocument/2006/relationships/hyperlink" Target="https://www.ncbi.nlm.nih.gov/pubmed/33839438" TargetMode="External"/><Relationship Id="rId347" Type="http://schemas.openxmlformats.org/officeDocument/2006/relationships/hyperlink" Target="https://www.ncbi.nlm.nih.gov/pubmed/33206587" TargetMode="External"/><Relationship Id="rId348" Type="http://schemas.openxmlformats.org/officeDocument/2006/relationships/hyperlink" Target="https://www.ncbi.nlm.nih.gov/pubmed/28375787" TargetMode="External"/><Relationship Id="rId349" Type="http://schemas.openxmlformats.org/officeDocument/2006/relationships/hyperlink" Target="https://www.ncbi.nlm.nih.gov/pubmed/29217288" TargetMode="External"/><Relationship Id="rId350" Type="http://schemas.openxmlformats.org/officeDocument/2006/relationships/hyperlink" Target="https://www.ncbi.nlm.nih.gov/pubmed/30779531" TargetMode="External"/><Relationship Id="rId351" Type="http://schemas.openxmlformats.org/officeDocument/2006/relationships/hyperlink" Target="https://www.ncbi.nlm.nih.gov/pubmed/32339648" TargetMode="External"/><Relationship Id="rId352" Type="http://schemas.openxmlformats.org/officeDocument/2006/relationships/hyperlink" Target="https://www.ncbi.nlm.nih.gov/pubmed/34715570" TargetMode="External"/><Relationship Id="rId353" Type="http://schemas.openxmlformats.org/officeDocument/2006/relationships/hyperlink" Target="https://www.ncbi.nlm.nih.gov/pubmed/34301810" TargetMode="External"/><Relationship Id="rId354" Type="http://schemas.openxmlformats.org/officeDocument/2006/relationships/hyperlink" Target="https://www.ncbi.nlm.nih.gov/pubmed/27592805" TargetMode="External"/><Relationship Id="rId355" Type="http://schemas.openxmlformats.org/officeDocument/2006/relationships/hyperlink" Target="https://www.ncbi.nlm.nih.gov/pubmed/25616434" TargetMode="External"/><Relationship Id="rId356" Type="http://schemas.openxmlformats.org/officeDocument/2006/relationships/hyperlink" Target="https://www.ncbi.nlm.nih.gov/pubmed/25757679" TargetMode="External"/><Relationship Id="rId357" Type="http://schemas.openxmlformats.org/officeDocument/2006/relationships/hyperlink" Target="https://www.ncbi.nlm.nih.gov/pubmed/30691122" TargetMode="External"/><Relationship Id="rId358" Type="http://schemas.openxmlformats.org/officeDocument/2006/relationships/hyperlink" Target="https://www.ncbi.nlm.nih.gov/pubmed/32782491" TargetMode="External"/><Relationship Id="rId359" Type="http://schemas.openxmlformats.org/officeDocument/2006/relationships/hyperlink" Target="https://www.ncbi.nlm.nih.gov/pubmed/30177437" TargetMode="External"/><Relationship Id="rId360" Type="http://schemas.openxmlformats.org/officeDocument/2006/relationships/hyperlink" Target="https://www.ncbi.nlm.nih.gov/pubmed/31538027" TargetMode="External"/><Relationship Id="rId361" Type="http://schemas.openxmlformats.org/officeDocument/2006/relationships/hyperlink" Target="https://www.ncbi.nlm.nih.gov/pubmed/34552338" TargetMode="External"/><Relationship Id="rId362" Type="http://schemas.openxmlformats.org/officeDocument/2006/relationships/hyperlink" Target="https://www.ncbi.nlm.nih.gov/pubmed/33017510" TargetMode="External"/><Relationship Id="rId363" Type="http://schemas.openxmlformats.org/officeDocument/2006/relationships/hyperlink" Target="https://www.ncbi.nlm.nih.gov/pubmed/34081848" TargetMode="External"/><Relationship Id="rId364" Type="http://schemas.openxmlformats.org/officeDocument/2006/relationships/hyperlink" Target="https://www.ncbi.nlm.nih.gov/pubmed/32343890" TargetMode="External"/><Relationship Id="rId365" Type="http://schemas.openxmlformats.org/officeDocument/2006/relationships/hyperlink" Target="https://www.ncbi.nlm.nih.gov/pubmed/31851799" TargetMode="External"/><Relationship Id="rId366" Type="http://schemas.openxmlformats.org/officeDocument/2006/relationships/hyperlink" Target="https://www.ncbi.nlm.nih.gov/pubmed/25761096" TargetMode="External"/><Relationship Id="rId367" Type="http://schemas.openxmlformats.org/officeDocument/2006/relationships/hyperlink" Target="https://www.ncbi.nlm.nih.gov/pubmed/28474297" TargetMode="External"/><Relationship Id="rId368" Type="http://schemas.openxmlformats.org/officeDocument/2006/relationships/hyperlink" Target="https://www.ncbi.nlm.nih.gov/pubmed/32172572" TargetMode="External"/><Relationship Id="rId369" Type="http://schemas.openxmlformats.org/officeDocument/2006/relationships/hyperlink" Target="https://www.ncbi.nlm.nih.gov/pubmed/34363200" TargetMode="External"/><Relationship Id="rId370" Type="http://schemas.openxmlformats.org/officeDocument/2006/relationships/hyperlink" Target="https://www.ncbi.nlm.nih.gov/pubmed/27717299" TargetMode="External"/><Relationship Id="rId371" Type="http://schemas.openxmlformats.org/officeDocument/2006/relationships/hyperlink" Target="https://www.ncbi.nlm.nih.gov/pubmed/30948273" TargetMode="External"/><Relationship Id="rId372" Type="http://schemas.openxmlformats.org/officeDocument/2006/relationships/hyperlink" Target="https://www.ncbi.nlm.nih.gov/pubmed/27002934" TargetMode="External"/><Relationship Id="rId373" Type="http://schemas.openxmlformats.org/officeDocument/2006/relationships/hyperlink" Target="https://www.ncbi.nlm.nih.gov/pubmed/34518297" TargetMode="External"/><Relationship Id="rId374" Type="http://schemas.openxmlformats.org/officeDocument/2006/relationships/hyperlink" Target="https://www.ncbi.nlm.nih.gov/pubmed/32086346" TargetMode="External"/><Relationship Id="rId375" Type="http://schemas.openxmlformats.org/officeDocument/2006/relationships/hyperlink" Target="https://www.ncbi.nlm.nih.gov/pubmed/28916367" TargetMode="External"/><Relationship Id="rId376" Type="http://schemas.openxmlformats.org/officeDocument/2006/relationships/hyperlink" Target="https://www.ncbi.nlm.nih.gov/pubmed/32359490" TargetMode="External"/><Relationship Id="rId377" Type="http://schemas.openxmlformats.org/officeDocument/2006/relationships/hyperlink" Target="https://www.ncbi.nlm.nih.gov/pubmed/32795228" TargetMode="External"/><Relationship Id="rId378" Type="http://schemas.openxmlformats.org/officeDocument/2006/relationships/hyperlink" Target="https://www.ncbi.nlm.nih.gov/pubmed/27614696" TargetMode="External"/><Relationship Id="rId379" Type="http://schemas.openxmlformats.org/officeDocument/2006/relationships/hyperlink" Target="https://www.ncbi.nlm.nih.gov/pubmed/32880196" TargetMode="External"/><Relationship Id="rId380" Type="http://schemas.openxmlformats.org/officeDocument/2006/relationships/hyperlink" Target="https://www.ncbi.nlm.nih.gov/pubmed/25799992" TargetMode="External"/><Relationship Id="rId381" Type="http://schemas.openxmlformats.org/officeDocument/2006/relationships/hyperlink" Target="https://www.ncbi.nlm.nih.gov/pubmed/34316715" TargetMode="External"/><Relationship Id="rId382" Type="http://schemas.openxmlformats.org/officeDocument/2006/relationships/hyperlink" Target="https://www.ncbi.nlm.nih.gov/pubmed/30714316" TargetMode="External"/><Relationship Id="rId383" Type="http://schemas.openxmlformats.org/officeDocument/2006/relationships/hyperlink" Target="https://www.ncbi.nlm.nih.gov/pubmed/29660759" TargetMode="External"/><Relationship Id="rId384" Type="http://schemas.openxmlformats.org/officeDocument/2006/relationships/hyperlink" Target="https://www.ncbi.nlm.nih.gov/pubmed/32122376" TargetMode="External"/><Relationship Id="rId385" Type="http://schemas.openxmlformats.org/officeDocument/2006/relationships/hyperlink" Target="https://www.ncbi.nlm.nih.gov/pubmed/32289275" TargetMode="External"/><Relationship Id="rId386" Type="http://schemas.openxmlformats.org/officeDocument/2006/relationships/hyperlink" Target="https://www.ncbi.nlm.nih.gov/pubmed/34407542" TargetMode="External"/><Relationship Id="rId387" Type="http://schemas.openxmlformats.org/officeDocument/2006/relationships/hyperlink" Target="https://www.ncbi.nlm.nih.gov/pubmed/28329763" TargetMode="External"/><Relationship Id="rId388" Type="http://schemas.openxmlformats.org/officeDocument/2006/relationships/hyperlink" Target="https://www.ncbi.nlm.nih.gov/pubmed/28819281" TargetMode="External"/><Relationship Id="rId389" Type="http://schemas.openxmlformats.org/officeDocument/2006/relationships/hyperlink" Target="https://www.ncbi.nlm.nih.gov/pubmed/31543464" TargetMode="External"/><Relationship Id="rId390" Type="http://schemas.openxmlformats.org/officeDocument/2006/relationships/hyperlink" Target="https://www.ncbi.nlm.nih.gov/pubmed/24420842" TargetMode="External"/><Relationship Id="rId391" Type="http://schemas.openxmlformats.org/officeDocument/2006/relationships/hyperlink" Target="https://www.ncbi.nlm.nih.gov/pubmed/31833784" TargetMode="External"/><Relationship Id="rId392" Type="http://schemas.openxmlformats.org/officeDocument/2006/relationships/hyperlink" Target="https://www.ncbi.nlm.nih.gov/pubmed/28032244" TargetMode="External"/><Relationship Id="rId393" Type="http://schemas.openxmlformats.org/officeDocument/2006/relationships/hyperlink" Target="https://www.ncbi.nlm.nih.gov/pubmed/31612105" TargetMode="External"/><Relationship Id="rId394" Type="http://schemas.openxmlformats.org/officeDocument/2006/relationships/hyperlink" Target="https://www.ncbi.nlm.nih.gov/pubmed/34002056" TargetMode="External"/><Relationship Id="rId395" Type="http://schemas.openxmlformats.org/officeDocument/2006/relationships/hyperlink" Target="https://www.ncbi.nlm.nih.gov/pubmed/34322383" TargetMode="External"/><Relationship Id="rId396" Type="http://schemas.openxmlformats.org/officeDocument/2006/relationships/hyperlink" Target="https://www.ncbi.nlm.nih.gov/pubmed/22207690" TargetMode="External"/><Relationship Id="rId397" Type="http://schemas.openxmlformats.org/officeDocument/2006/relationships/hyperlink" Target="https://www.ncbi.nlm.nih.gov/pubmed/23610618" TargetMode="External"/><Relationship Id="rId398" Type="http://schemas.openxmlformats.org/officeDocument/2006/relationships/hyperlink" Target="https://www.ncbi.nlm.nih.gov/pubmed/22942908" TargetMode="External"/><Relationship Id="rId399" Type="http://schemas.openxmlformats.org/officeDocument/2006/relationships/hyperlink" Target="https://www.ncbi.nlm.nih.gov/pubmed/16721371" TargetMode="External"/><Relationship Id="rId400" Type="http://schemas.openxmlformats.org/officeDocument/2006/relationships/hyperlink" Target="https://www.ncbi.nlm.nih.gov/pubmed/21419934" TargetMode="External"/><Relationship Id="rId401" Type="http://schemas.openxmlformats.org/officeDocument/2006/relationships/hyperlink" Target="https://www.ncbi.nlm.nih.gov/pubmed/19878872" TargetMode="External"/><Relationship Id="rId402" Type="http://schemas.openxmlformats.org/officeDocument/2006/relationships/hyperlink" Target="https://www.ncbi.nlm.nih.gov/pubmed/32145037" TargetMode="External"/><Relationship Id="rId403" Type="http://schemas.openxmlformats.org/officeDocument/2006/relationships/hyperlink" Target="https://www.ncbi.nlm.nih.gov/pubmed/29567798" TargetMode="External"/><Relationship Id="rId404" Type="http://schemas.openxmlformats.org/officeDocument/2006/relationships/hyperlink" Target="https://www.ncbi.nlm.nih.gov/pubmed/24180494" TargetMode="External"/><Relationship Id="rId405" Type="http://schemas.openxmlformats.org/officeDocument/2006/relationships/hyperlink" Target="https://www.ncbi.nlm.nih.gov/pubmed/28969556" TargetMode="External"/><Relationship Id="rId406" Type="http://schemas.openxmlformats.org/officeDocument/2006/relationships/hyperlink" Target="https://www.ncbi.nlm.nih.gov/pubmed/29411417" TargetMode="External"/><Relationship Id="rId407" Type="http://schemas.openxmlformats.org/officeDocument/2006/relationships/hyperlink" Target="https://www.ncbi.nlm.nih.gov/pubmed/25132497" TargetMode="External"/><Relationship Id="rId408" Type="http://schemas.openxmlformats.org/officeDocument/2006/relationships/hyperlink" Target="https://www.ncbi.nlm.nih.gov/pubmed/26603839" TargetMode="External"/><Relationship Id="rId409" Type="http://schemas.openxmlformats.org/officeDocument/2006/relationships/hyperlink" Target="https://clinicaltrials.gov/ct2/show/NCT04507919" TargetMode="External"/><Relationship Id="rId410" Type="http://schemas.openxmlformats.org/officeDocument/2006/relationships/hyperlink" Target="https://clinicaltrials.gov/ct2/show/NCT03839342" TargetMode="External"/><Relationship Id="rId411" Type="http://schemas.openxmlformats.org/officeDocument/2006/relationships/hyperlink" Target="https://clinicaltrials.gov/ct2/show/NCT03505710" TargetMode="External"/><Relationship Id="rId412" Type="http://schemas.openxmlformats.org/officeDocument/2006/relationships/hyperlink" Target="https://clinicaltrials.gov/ct2/show/NCT04644237" TargetMode="External"/><Relationship Id="rId413" Type="http://schemas.openxmlformats.org/officeDocument/2006/relationships/hyperlink" Target="https://clinicaltrials.gov/ct2/show/NCT02675829"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D4693A-AA7A-4781-9C01-BA9617AEF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12715</TotalTime>
  <Pages>5</Pages>
  <Words>1307</Words>
  <Characters>7456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Gabe F. Rudy</dc:creator>
  <cp:keywords/>
  <dc:description/>
  <cp:lastModifiedBy>Nathan Fortier</cp:lastModifiedBy>
  <cp:revision>65</cp:revision>
  <cp:lastPrinted>2019-03-25T20:13:00Z</cp:lastPrinted>
  <dcterms:created xsi:type="dcterms:W3CDTF">2022-07-30T14:20:00Z</dcterms:created>
  <dcterms:modified xsi:type="dcterms:W3CDTF">2022-12-20T18:27:00Z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d70110e0a7139c8a530ccd65656b82390e0e0d2b6e9247b0afea04a2614b4a05</vt:lpwstr>
  </property>
</Properties>
</file>